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1</w:t>
      </w:r>
    </w:p>
    <w:p>
      <w:r>
        <w:t>Bundesgericht (BGE), 1960-03-16, FR</w:t>
      </w:r>
    </w:p>
    <w:p>
      <w:r>
        <w:rPr>
          <w:b/>
        </w:rPr>
        <w:t xml:space="preserve">Quelle: </w:t>
      </w:r>
      <w:r>
        <w:t>https://mcp.opencaselaw.ch/entscheid/bge_BGE_86_I_1</w:t>
      </w:r>
    </w:p>
    <w:p>
      <w:r>
        <w:t>FR: ATF 86 I 1</w:t>
      </w:r>
    </w:p>
    <w:p>
      <w:r>
        <w:t>IT: DTF 86 I 1</w:t>
      </w:r>
    </w:p>
    <w:p>
      <w:pPr>
        <w:pStyle w:val="Heading2"/>
      </w:pPr>
      <w:r>
        <w:t>Regeste</w:t>
      </w:r>
    </w:p>
    <w:p>
      <w:r>
        <w:t>Regeste Art. 4 BV. Der Anspruch auf rechtliches Gehör ist verletzt, wenn eine im Ausland wohnhafte Person so spät vor Gericht geladen wird, dass ihr die gehörige Wahrung ihrer Rechte nicht mehr möglich ist.</w:t>
      </w:r>
    </w:p>
    <w:p>
      <w:r>
        <w:t>Regeste Art. 4 Cst. Violation du droit d'être entendu résultant du fait qu'une personne domiciliée à l'étranger a été assignée en justice trop tard pour faire valoir utilement ses moyens.</w:t>
      </w:r>
    </w:p>
    <w:p>
      <w:r>
        <w:t>Regesto Art. 4 CF. Violazione del diritto di essere sentito risultante dal fatto che una persona domiciliata all'estero è stata citata in giudizio troppo tardi per far valere utilmente i propri diritti.</w:t>
      </w:r>
    </w:p>
    <w:p>
      <w:pPr>
        <w:pStyle w:val="Heading2"/>
      </w:pPr>
      <w:r>
        <w:t>Erwägungen</w:t>
      </w:r>
    </w:p>
    <w:p>
      <w:r>
        <w:rPr>
          <w:b/>
        </w:rPr>
        <w:t>E. 1</w:t>
      </w:r>
    </w:p>
    <w:p>
      <w:r>
        <w:t>La citation du 17 novembre 1959 n'est pas en soi une décision susceptible d'un recours de droit public pour violation de l'art. 4 Cst. Seule peut faire l'objet d'un tel recours l'ordonnance du 23 novembre 1959 désignant le représentant de la communauté héréditaire. Ce prononcé pourra cependant être annulé si la procédure qui l'a précédé, et notamment la convocation adressée à la recourante, se révèlent contraires à l'art. 4 Cst.</w:t>
      </w:r>
    </w:p>
    <w:p>
      <w:r>
        <w:rPr>
          <w:b/>
        </w:rPr>
        <w:t>E. 2</w:t>
      </w:r>
    </w:p>
    <w:p>
      <w:r>
        <w:t>D'après l'art. 1er de la loi genevoise d'application du code civil, le juge de paix est compétent pour désigner le représentant d'une communauté héréditaire. En vertu de l'art. 5 de cette même loi, il est saisi par une requête, que l'instant doit tout d'abord signifier à la partie citée, "laquelle est convoquée par l'autorité compétente aux fins d'être entendue". Vu cette disposition, l'intimé peut BGE 86 I 1 S. 3 en tout cas exiger d'être assigné suffisamment à l'avance pour faire valoir utilement ses moyens quant à la demande soumise au juge. En l'espèce, la juridiction cantonale a cité la recourante, qui est domiciliée à l'étranger, quatre jours à peine avant la date de la séance, puisque la convocation a été mise à la poste le 17 novembre 1959 à 17 heures, pour le 21 novembre 1959 à 11 heures. Il saute aux yeux que ce délai, déjà très bref pour une personne résidant en Suisse, était absolument insuffisant pour une partie habitant l'étranger, car, en pareil cas, l'autorité doit toujours compter avec les aléas d'une transmission de la convocation par la poste. Aussi bien, la recourante n'a reçu l'assignation que le matin du 21 novembre, une ou deux heures seulement avant l'audience. Elle a été dès lors dans l'impossibilité de prendre des mesures appropriées pour faire entendre son opinion. Cette situation est d'autant plus choquante in casu qu'il n'y avait pas d'urgence et que le problème posé par la requête présentait pour la recourante un intérêt certain. On ne saurait faire grief à cette dernière de ne pas avoir téléphoné ou télégraphié au juge pour lui indiquer la situation dans laquelle elle se trouvait et lui demander le renvoi de l'audience. Outre que, d'après la convocation, il devait être statué irrévocablement en cas d'absence, un délai d'une ou deux heures ne permettait pas à la recourante d'agir utilement. En effet, elle avait le droit de consulter un homme de loi, ce qui était impossible en un temps si bref. Elle ne mérite pas non plus de reproche pour ne pas avoir fait connaître aux autorités genevoises son changement provisoire d'adresse. Elle l'a indiqué à la poste allemande, ce qui manifestement suffisait. Assignée si tard qu'elle n'a pas pu faire valoir ses moyens, la recourante a été privée du droit d'être entendue, qu'une disposition claire de la législation genevoise lui accorde expressément. Cette violation manifeste d'une règle cantonale équivaut à une violation de l'art. 4 Cst. La décision BGE 86 I 1 S. 4 nommant le représentant de la communauté doit dès lors être annulée, sans qu'il faille rechercher si elle devrait l'être pour d'autres raisons encore.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