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41</w:t>
      </w:r>
    </w:p>
    <w:p>
      <w:r>
        <w:t>Bundesgericht (BGE), 1933-12-04, DE</w:t>
      </w:r>
    </w:p>
    <w:p>
      <w:r>
        <w:rPr>
          <w:b/>
        </w:rPr>
        <w:t xml:space="preserve">Quelle: </w:t>
      </w:r>
      <w:r>
        <w:t>https://mcp.opencaselaw.ch/entscheid/bge_BGE_86_IV_41</w:t>
      </w:r>
    </w:p>
    <w:p>
      <w:r>
        <w:t>FR: ATF 86 IV 41</w:t>
      </w:r>
    </w:p>
    <w:p>
      <w:r>
        <w:t>IT: DTF 86 IV 41</w:t>
      </w:r>
    </w:p>
    <w:p>
      <w:pPr>
        <w:pStyle w:val="Heading2"/>
      </w:pPr>
      <w:r>
        <w:t>Regeste</w:t>
      </w:r>
    </w:p>
    <w:p>
      <w:r>
        <w:t>Regeste Art. 7 Abs. 2 der Verordnung über die Arbeits- und Ruhezeit der berufsmässigen Motorfahrzeugführer vom 4. Dezember 1933 verpflichtet die Arbeitgeber nicht, die ihnen unterstellten Motorfahrzeugführer zur Führung des vorgeschriebenen Kontrollheftes anzuhalten.</w:t>
      </w:r>
    </w:p>
    <w:p>
      <w:r>
        <w:t>Regeste L'art. 7 al. 2 de l'ordonnance du 4 décembre 1933 sur la durée du travail et du repos des conducteurs professionnels de véhicules automobiles n'oblige pas les employeurs à exiger des conducteurs qui sont sous leurs ordres à tenir le carnet de contrôle prescrit.</w:t>
      </w:r>
    </w:p>
    <w:p>
      <w:r>
        <w:t>Regesto L'art. 7 cp. 2 dell'ordinanza 4 dicembre 1933 sulla durata del lavoro e del riposo dei conducenti di professione (autisti) non obbliga i datori di lavoro a esigere dai conducenti loro dipendenti di tenere il prescritto libretto di controllo.</w:t>
      </w:r>
    </w:p>
    <w:p>
      <w:pPr>
        <w:pStyle w:val="Heading2"/>
      </w:pPr>
      <w:r>
        <w:t>Erwägungen</w:t>
      </w:r>
    </w:p>
    <w:p>
      <w:r>
        <w:rPr>
          <w:b/>
        </w:rPr>
        <w:t>E. 1</w:t>
      </w:r>
    </w:p>
    <w:p>
      <w:r>
        <w:t>Art. 3 ARV stellt Vorschriften über die Höchstdauer der Arbeits- und Präsenzzeit der berufsmässigen Motorfahrzeugführer auf, und Art. 7 Abs. 1 ARV verpflichtet diese, über ihre Arbeits- und Präsenzzeiten Kontrolle zu führen. Abs. 2 dieser Bestimmung schreibt sodann vor: "Zur Durchführung der Kontrolle wird von der kantonalen Behörde ein Kontrollheft abgegeben, das vom Motorfahrzeugführer nach der im Anhang dargelegten Weise täglich nachzuführen ist. Der Arbeitgeber oder dessen Vertreter hat diese Angaben des Arbeitnehmers jeweils spätestens am Ende einer Kalenderwoche unterschriftlich zu bestätigen."</w:t>
      </w:r>
    </w:p>
    <w:p>
      <w:r>
        <w:rPr>
          <w:b/>
        </w:rPr>
        <w:t>E. 2</w:t>
      </w:r>
    </w:p>
    <w:p>
      <w:r>
        <w:t>Nach dem klaren Wortlaut des Art. 7 Abs. 1 und 2 ARV sind die Pflichten, welche die Verordnung Arbeitnehmern und Arbeitgebern bezüglich der Kontrolle der Arbeits- und Präsenzzeiten auferlegt, eindeutig abgegrenzt. Zur Führung des Kontrollheftes sind nur die berufsmässigen Motorfahrzeugführer verpflichtet, die selber im gewerbsmässigen Personentransport tätig oder mit dem Gütertransport beschäftigt sind. Unternehmer, welche die Führung der Motorfahrzeuge durch Angestellte ausführen lassen, sind bloss gehalten, die Eintragungen ihrer Motorfahrzeugführer im Kontrollheft jede Woche unterschriftlich zu bestätigen. Gewiss setzt die Erfüllung dieser Pflicht voraus, dass die Arbeitnehmer ihr Kontrollheft vorschriftsgemäss BGE 86 IV 41 S. 43 führen; daraus folgt aber nicht, dass der Arbeitgeber sie zur Erfüllung ihrer Pflicht anhalten müsse. Der Arbeitnehmer kann die Eintragungen vornehmen, ohne dass der Arbeitgeber mitwirkt und ihn dazu verhält. Es ist deshalb nicht richtig, wenn der Beschwerdeführer behauptet, der Arbeitnehmer könne die ihm in Art. 7 Abs. 1 auferlegte Pflicht nur erfüllen, wenn ihr auch der Arbeitgeber in gleicher Weise unterworfen sei. Eine solche Abhängigkeit besteht bloss bei den Bestimmungen über die Ruhezeit ( Art. 4 - 6 ARV ); deren Befolgung durch die Motorfahrzeugführer setzt notwendig voraus, dass auch die Arbeitgeber die vorgeschriebenen Ruhezeiten beachten und nicht Arbeitsanweisungen erteilen, die dem Angestellten die Möglichkeit nehmen, die Ruhezeiten einzuhalten. Es mag sein, dass Art. 7 Abs. 1 besser nachgelebt würde, wenn die Arbeitgeber die Befolgung der Vorschrift überwachten. Das kann aber auch dem Bundesrat beim Erlass der Verordnung nicht entgangen sein. Hätte er gewollt, dass der Arbeitgeber von seinen Angestellten die Einhaltung von Art. 7 Abs. 1 verlange, so hätte er dies zweifellos auch ausdrücklich gesagt und ihm nicht bloss aufgetragen, die Angaben der Angestellten im Kontrollheft einzusehen und mit seiner Unterschrift zu versehen. Wenn der Gesetzgeber nicht alle zur Verfügung stehenden Mittel ausschöpft, sondern sich auf diejenigen beschränkt, die er zur Erreichung der gesetzlichen Zwecke für genügend erachtet, so hat sich auch der Richter daran zu halten. Es geht daher nicht an, aus Art. 7 Abs. 2 abzuleiten, die Arbeitgeber seien rechtlich verpflichtet, für die Führung der Kontrollhefte besorgt zu sein, nur weil eine solche Massnahme geeignet wäre, die Wirksamkeit der Kontrollvorschrift zu erhöhen. Die Betrachtungsweise des Beschwerdeführers ist umso weniger zulässig, als der Verordnung gemäss Art. 1 Abs. 1 im allgemeinen nur die berufsmässigen Motorfahrzeugführer unterstellt sind. Sie liefe darauf hinaus, die Arbeitgeber für einen Tatbestand BGE 86 IV 41 S. 44 strafbar zu erklären, der im Text der Verordnung keine Stütze hat, was nach Art. 1 StGB nicht statthaft ist. Die Befürchtung des Beschwerdeführers, dass die Auffassung der Vorinstanz dazu führe, dass der Arbeitgeber bei der Erteilung seiner Arbeitsanweisungen sich nicht um die Verordnung bekümmern werde, ist nicht begründet. Der Arbeitgeber, der seinen Angestellten befiehlt oder sie veranlasst, das Kontrollheft nicht zu führen, macht sich, wenn seiner Weisung Folge gegeben wird, der Anstiftung zur Übertretung von Art. 7 Abs. 1 ARV schuldig und ist nach Art. 9 strafbar. Dieser Fall liegt übrigens nach der Feststellung der Vorinstanz vor; Gautschi wurde in diesem Punkt lediglich freigesprochen, weil der Polizeirichter es unterlassen hat, ihn der Anstiftung zu beschuldigen.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