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35</w:t>
      </w:r>
    </w:p>
    <w:p>
      <w:r>
        <w:t>Bundesgericht (BGE), 1960-01-01, DE</w:t>
      </w:r>
    </w:p>
    <w:p>
      <w:r>
        <w:rPr>
          <w:b/>
        </w:rPr>
        <w:t xml:space="preserve">Quelle: </w:t>
      </w:r>
      <w:r>
        <w:t>https://mcp.opencaselaw.ch/entscheid/bge_BGE_86_IV_35</w:t>
      </w:r>
    </w:p>
    <w:p>
      <w:r>
        <w:t>FR: ATF 86 IV 35</w:t>
      </w:r>
    </w:p>
    <w:p>
      <w:r>
        <w:t>IT: DTF 86 IV 35</w:t>
      </w:r>
    </w:p>
    <w:p>
      <w:pPr>
        <w:pStyle w:val="Heading2"/>
      </w:pPr>
      <w:r>
        <w:t>Regeste</w:t>
      </w:r>
    </w:p>
    <w:p>
      <w:r>
        <w:t>Regeste Art. 45 Abs. 3 MFV; Vortrittsrecht des Fussgängers. 1. Wo und unter welchen Voraussetzungen steht Fussgängern das Vortrittsrecht zu? 2. Es hängt von den Umständen des einzelnen Falles (z.B. von der Verkehrsdichte, Tageszeit, Fahrbahnbreite usw.) ab, inwieweit der Fahrzeugführer im Hinblick darauf, dass ein Fussgänger allenfalls den Vortritt beanspruchen könnte, auf einen Fussgängerstreifen zu die Geschwindigkeit herabzusetzen hat.</w:t>
      </w:r>
    </w:p>
    <w:p>
      <w:r>
        <w:t>Regeste Art. 45 al. 3 RA, droit de priorité du piéton. 1. Où et dans quelles circonstances le piéton a-t-il le droit de priorité? 2. Il faut décider selon les circonstances de l'espèce (par exemple: selon la densité du trafic, l'heure, la largeur de la chaussée etc.) dans quelle mesure le conducteur doit ralentir à l'approche d'un passage pour piétons, eu égard au fait qu'un piéton pourrait, le cas échéant, revendiquer la priorité.</w:t>
      </w:r>
    </w:p>
    <w:p>
      <w:r>
        <w:t>Regesto Art. 45 cp. 3 RLA, diritto di precedenza del pedone. 1. Dove e in quali circostanze il pedone ha il diritto di precedenza? 2. Occorre decidere secondo le circostanze del singolo caso (per esempio: secondo la densità del traffico, l'ora, la larghezza della carreggiata ecc.) in quale misura il conducente deve rallentare all'approssimarsi di un passaggio per pedoni, tenuto conto che il pedone potrebbe eventualmente rivendicare la precedenza.</w:t>
      </w:r>
    </w:p>
    <w:p>
      <w:pPr>
        <w:pStyle w:val="Heading2"/>
      </w:pPr>
      <w:r>
        <w:t>Erwägungen</w:t>
      </w:r>
    </w:p>
    <w:p>
      <w:r>
        <w:rPr>
          <w:b/>
        </w:rPr>
        <w:t>E. 1</w:t>
      </w:r>
    </w:p>
    <w:p>
      <w:r>
        <w:t>Nach Art. 45 Abs. 3 MFV haben die Motorfahrzeugführer vor Fussgängerstreifen die Geschwindigkeit zu mässigen und nötigenfalls anzuhalten, um den sich schon darauf befindenden Fussgängern die ungehinderte Überquerung der Fahrbahn zu ermöglichen. Diese Bestimmung räumt dem Fussgänger auf dem Streifen das Vortrittsrecht ein, wenn er ihn so frühzeitig betreten hat, dass es dem Führer des Motorfahrzeuges noch möglich ist, den Vortritt zu lassen, ohne jemanden zu gefährden. Der Motorfahrzeugführer hat sich daher im vorneherein so zu verhalten, dass er dem Fussgänger die Ausübung seines Rechts nicht verunmöglicht. Insbesondere hat er, wie Art. 45 Abs. 3 MFV ausdrücklich bestimmt, bei der Annäherung an den Fussgängerstreifen die Geschwindigkeit angemessen herabzusetzen. BGE 86 IV 35 S. 38 Dem Fussgänger steht demnach, auch wenn er die Fahrbahn auf dem dafür bestimmten Streifen überquert, das Vortrittsrecht gegenüber den Fahrzeugführern nicht schlechthin, sondern nur dann zu, wenn er die Fahrbahn auf angemessene Entfernung vor dem herannahenden Fahrzeug betreten hat. Wie nahe ein Fahrzeug an den Fussgängerstreifen herangerückt sein muss, damit der Führer nicht mehr in Rechnung zu stellen hat, dass ein Fussgänger den Vortritt beanspruchen könnte, kann nicht ein für allemal gesagt werden, sondern hängt von den Umständen, u.a. von der Verkehrsdichte, der Fahrbahnbreite und der Tageszeit ab. Bei dichtem Verkehr ist auf einer schmalen Strasse, zumal kurz vor Arbeitsbeginn oder unmittelbar nach Arbeitsschluss, eher zu erwarten, dass ein Fussgänger eine verhältnismässig kurze Lücke zwischen zwei Fahrzeugen dazu benützen werde, die Fahrbahn zu überqueren als bei schwachem Verkehr oder bei dichtem Verkehr auf einer mehrspurigen Strasse. Bei der Überlegung, ob er angesichts eines sich nähernden Fahrzeuges den Streifen betreten und damit den Vortritt in Anspruch nehmen dürfe, darf der Fussgänger damit rechnen, dass der Fahrzeugführer die Geschwindigkeit vorschriftsgemäss mässigen werde ( BGE 65 I 59 f.). Hierauf durften sich im vorliegenden Falle die vor dem Streifen wartenden Fussgänger umso mehr verlassen, als für die stadteinwärts fahrenden Führer die Sicht in den von rechts einmündenden Arm der Ottikerstrasse, woher vortrittsberechtigte Fahrzeuge kommen konnten, weitgehend verdeckt ist und daher auch aus diesem Grunde nach Art. 25 Abs. 1 und Art. 27 Abs. 1 MFG langsames Fahren geboten war.</w:t>
      </w:r>
    </w:p>
    <w:p>
      <w:r>
        <w:rPr>
          <w:b/>
        </w:rPr>
        <w:t>E. 2</w:t>
      </w:r>
    </w:p>
    <w:p>
      <w:r>
        <w:t>a) Als der Beschwerdegegner sich dem Fussgängerstreifen bei der Tramhaltestelle Ottikerstrasse näherte, standen - nach der verbindlichen Feststellung der Vorinstanz ( Art. 277bis Abs. 1 BStP ) - bei diesem auf dem rechtsseitigen Trottoir 5-10 Personen. Aus ihrem Standort und sonstigen Verhalten musste geschlossen werden, dass sie auf eine Gelegenheit warteten, um die Weinbergstrasse BGE 86 IV 35 S. 39 überqueren zu können. Dieser Schluss lag umso näher, als der Tramzug und die an diesen unmittelbar anschliessende Autokolonne, durch die das Überqueren der Weinbergstrasse auf dem Fussgängerstreifen versperrt worden war, sich eben stadtwärts entfernt hatten und die zwischen dem hintersten Wagen der Fahrzeugkolonne und dem Auto des Beschwerdegegners bestehende Lücke von ca. 40 m erfahrungsgemäss von Fussgängern als gross genug erachtet werden mochte, um sie zum Überqueren der Fahrbahn auszunützen. Darauf hatte sich der Beschwerdegegner durch Mässigung der Geschwindigkeit einzustellen. b) Die Vorinstanz nimmt an, er hätte dieser Pflicht genügt, wenn er nicht schneller gefahren wäre, als dass er auf 15 m hätte anhalten können, da er erfahrungsgemäss mit der Möglichkeit, dass ein Fussgänger die Strasse überqueren könnte, nicht mehr habe rechnen müssen, als sich sein Fahrzeug dem Fussgängerstreifen bis auf diese Entfernung genähert hatte. Damit trägt die Vorinstanz den gegebenen Umständen jedoch nicht genügend Rechnung. Nach der verbindlichen Feststellung der Vorinstanz herrschte auf der Weinbergstrasse zur Zeit des zu beurteilenden Vorfalles eigentlicher Stossverkehr. Die Möglichkeiten, die Fahrbahn zu überschreiten, waren daher beschränkt. Anderseits war um jene Zeit auch der Fussgängerverkehr rege und hatte es - kurz vor Arbeitsbeginn - ein grosser Teil der Fussgänger unverkennbar eilig. Der Beschwerdegegner musste daher bedenken, dass Fussgänger verhältnismässig kurz vor seinem Wagen die Fahrbahn betreten könnten, um sie auf dem dafür bestimmten Streifen zu überqueren. Damit war umso mehr zu rechnen, als die Fahrbahn der Weinbergstrasse an der in Frage stehenden Stelle verhältnismässig schmal ist. Die gleiche Überlegung drängte sich vor allem aber auch im Hinblick auf die beiden Personen auf, die bereits auf den Fussgängerstreifen hinausgetreten waren. Indem sie gleich nach der Durchfahrt des hintersten Wagens der sich stadteinwärts entfernenden Kolonne in die Fahrbahn BGE 86 IV 35 S. 40 eingedrungen waren, hatten sie den Vortritt beansprucht, der ihnen gemäss Art. 45 Abs. 3 MFV auch zustand, da sich der Wagen des Beschwerdegegners in diesem Zeitpunkte noch gegen 40 m vor dem Fussgängerstreifen befand. Für Prokop ergab sich daraus die Pflicht, die Geschwindigkeit derart zu mässigen, dass er den Vortritt lassen konnte. Freilich blieben die beiden Fussgänger, nachdem sie den Streifen betreten hatten, sogleich wieder stehen. Daraus hätte der Beschwerdegegner jedoch nur dann ableiten dürfen, dass sie auf den ihnen zustehenden Vortritt verzichteten, wenn bestimmte Anzeichen eindeutig darauf hingewiesen hätten. Das war aber nicht der Fall; es ist nicht festgestellt, dass sie sich auch nur nach jener Richtung hin umgeblickt, geschweige denn dem Beschwerdegegner ein Zeichen gegeben hätten. c) Wie die Vorinstanz für den Kassationshof verbindlich festgestellt hat, hatte sich der Beschwerdegegner dem Fussgängerstreifen auf 14-17 m genähert, als Kaiser ihn betrat. Unter den oben angeführten Umständen musste Prokop aber, wovon auch das Obergericht ausgeht, mit der Möglichkeit rechnen, dass die bereits auf dem Fussgängerstreifen stehenden oder andere Passanten sich anschicken könnten, auf diese Entfernung vom Fahrzeug die Fahrbahn noch zu überqueren. Er wäre daher verpflichtet gewesen, die Geschwindigkeit soweit herabzusetzen, dass die Fussgänger auf die genannte Entfernung die Fahrbahn noch hätten ungehindert überqueren können. Hätte er das getan, so wäre er in der Lage gewesen, sein Fahrzeug noch rechtzeitig vor dem Fussgängerstreifen zum Stehen zu bringen, als Kaiser sich auf diesen hinausbegab. Die übersetzte Geschwindigkeit war deshalb rechtserhebliche Ursache für den Zusammenstoss und damit für den Tod Kaisers.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