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w:t>
      </w:r>
    </w:p>
    <w:p>
      <w:r>
        <w:t>Bundesgericht (BGE), 1960-01-01, DE</w:t>
      </w:r>
    </w:p>
    <w:p>
      <w:r>
        <w:rPr>
          <w:b/>
        </w:rPr>
        <w:t xml:space="preserve">Quelle: </w:t>
      </w:r>
      <w:r>
        <w:t>https://mcp.opencaselaw.ch/entscheid/bge_BGE_86_IV_2</w:t>
      </w:r>
    </w:p>
    <w:p>
      <w:r>
        <w:t>FR: ATF 86 IV 2</w:t>
      </w:r>
    </w:p>
    <w:p>
      <w:r>
        <w:t>IT: DTF 86 IV 2</w:t>
      </w:r>
    </w:p>
    <w:p>
      <w:pPr>
        <w:pStyle w:val="Heading2"/>
      </w:pPr>
      <w:r>
        <w:t>Regeste</w:t>
      </w:r>
    </w:p>
    <w:p>
      <w:r>
        <w:t>Regeste Art. 41 Ziff. 3 Abs. 1 StGB. 1. Der bedingte Strafvollzug darf auch dann, wenn die dem Verurteilten gegebene Weisung befristet ist, erst nach erfolgloser förmlicher Mahnung widerrufen werden (Erw. 1). 2. Als Mahnung genügt nicht, dass an die bisherige Adresse des Verurteilten ein eingeschriebener Mahnbrief abgesandt wird, falls dieser als unbestellbar zurückkommt (Erw. 2).</w:t>
      </w:r>
    </w:p>
    <w:p>
      <w:r>
        <w:t>Regeste Art. 41 ch. 3 al. 1 CP. 1. Même si les règles de conduite imposées au condamné sont assorties d'un délai, le sursis à l'exécution de la peine ne peut être révoqué qu'après un avertissement formel et infructueux (consid. 1). 2. A titre d'avertissement, il ne suffit pas d'une lettre recommandée, envoyée à la dernière adresse connue du condamné, lorsque cette lettre est revenue à l'expéditeur, n'ayant pu être délivrée (consid. 2).</w:t>
      </w:r>
    </w:p>
    <w:p>
      <w:r>
        <w:t>Regesto Art. 41 num. 3, cp. 1 CP. 1. Anche se nelle norme di condotta imposte al condannannato è fissato un termine, la sospensione condizionale della pena può essere revocata soltanto dopo un avvertimento formale rimasto infruttuoso (consid. 1). 2. Come avvertimento, non basta una lettera raccomandata inviata all'ultimo indirizzo conosciuto del condannato, se questa lettera è ritornata al mittente, non avendo potuto essere recapitata (consid. 2).</w:t>
      </w:r>
    </w:p>
    <w:p>
      <w:pPr>
        <w:pStyle w:val="Heading2"/>
      </w:pPr>
      <w:r>
        <w:t>Erwägungen</w:t>
      </w:r>
    </w:p>
    <w:p>
      <w:r>
        <w:rPr>
          <w:b/>
        </w:rPr>
        <w:t>E. 1</w:t>
      </w:r>
    </w:p>
    <w:p>
      <w:r>
        <w:t>Nach Art. 41 Ziff. 3 Abs. 1 StGB lässt der Richter die Strafe u.a. dann vollziehen, wenn der Verurteilte trotz förmlicher Mahnung der ihm erteilten Weisung zuwiderhandelt. Die Staatsanwaltschaft des Kantons Obwalden wirft in ihrer Vernehmlassung die Frage auf, ob es überhaupt einer Mahnung bedürfe, wenn dem Verurteilten, wie hier, eine bestimmte Zahlungsfrist angesetzt worden sei. Die Frage ist zu bejahen. Das Gesetz schreibt bei Nichterfüllung der Weisung die förmliche Mahnung schlechthin vor, nicht nur für den Fall, dass die Weisung unbefristet war. Die Strafe soll auch in Fällen mit befristeter Auflage nicht vollzogen werden, ohne dass der Verurteilte vorher noch in förmlicher Weise auf seine Pflicht hingewiesen worden ist. In diesem Sinne hat der Kassationshof bereits in dem vom Beschwerdeführer angeführten UrteilBGE 75 IV 157entschieden. Wieso es einen Unterschied ausmachen sollte, ob dem Verurteilten für die Wiedergutmachung des Schadens eine einmalige Frist oder sukzessive Abzahlungsfristen angesetzt wurden, ist nicht einzusehen.</w:t>
      </w:r>
    </w:p>
    <w:p>
      <w:r>
        <w:rPr>
          <w:b/>
        </w:rPr>
        <w:t>E. 2</w:t>
      </w:r>
    </w:p>
    <w:p>
      <w:r>
        <w:t>Als Mahnung genügt aber nicht, dass an die bisherige Adresse des Verurteilten ein, wenn auch eingeschriebener Mahnbrief abgeschickt wird, falls dieser dann als unbestellbar zurückkommt. Gewiss hat der Postadressat es in der Regel sich selber zuzuschreiben, wenn ihm Sendungen nicht zugestellt werden können, weil er seinen Wohnsitz ohne Angabe der neuen Adresse gewechselt hat. Deswegen ersetzt jedoch ein unter solchen Umständen vorgenommener Zustellungsversuch die in Art. 41 Ziff. 3 Abs. 1 StGB vorgeschriebene Mahnung nicht. Gemahnt ist der Verurteilte gemäss dieser Bestimmung erst, wenn er die Mahnung tatsächlich erhalten hat und ihm der BGE 86 IV 2 S. 5 drohende Strafvollzug damit zum Bewusstsein gebracht worden ist. Kann die Mahnung an die bisherige Adresse nicht zugestellt werden, so ist es Sache der Behörde, den neuen Wohn- oder Aufenthaltsort des Verurteilten, allenfalls unter Inanspruchnahme der Rechtshilfe ( Art. 352 ff. StGB ), ausfindig zu machen oder eine öffentliche Zustellung vorzunehmen. Dass das Verfahrensrecht des Kantons Obwalden die öffentliche Zustellung in einem solchen Fall nicht besonders vorgesehen hat, entbindet nicht von der Vorschrift der förmlichen Mahnung. Übrigens kann ja die Strafe auch nicht vollzogen werden, bevor der Verurteilte gestellt ist, was ohnehin entsprechende Massnahmen notwendig macht. Dispositiv Demnach erkennt der Kassationshof: Die Nichtigkeitsbeschwerde wird gutgeheissen und die Verfügung des Kantonsgerichtes des Kantons Obwalden vom 21. Januar 1960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