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194</w:t>
      </w:r>
    </w:p>
    <w:p>
      <w:r>
        <w:t>Bundesgericht (BGE), 1960-01-01, DE</w:t>
      </w:r>
    </w:p>
    <w:p>
      <w:r>
        <w:rPr>
          <w:b/>
        </w:rPr>
        <w:t xml:space="preserve">Quelle: </w:t>
      </w:r>
      <w:r>
        <w:t>https://mcp.opencaselaw.ch/entscheid/bge_BGE_86_IV_194</w:t>
      </w:r>
    </w:p>
    <w:p>
      <w:r>
        <w:t>FR: ATF 86 IV 194</w:t>
      </w:r>
    </w:p>
    <w:p>
      <w:r>
        <w:t>IT: DTF 86 IV 194</w:t>
      </w:r>
    </w:p>
    <w:p>
      <w:pPr>
        <w:pStyle w:val="Heading2"/>
      </w:pPr>
      <w:r>
        <w:t>Regeste</w:t>
      </w:r>
    </w:p>
    <w:p>
      <w:r>
        <w:t>Regeste Art. 350 Ziff. 1 Abs. 2 StGB, Art. 263 BStP. 1. Der gesetzliche Gerichtsstand bildet die Regel, von der nur ausnahmsweise abgegangen werden darf; Ausnahme verneint (Erw. 1 und 2). 2. Kostenpflicht des Kantons, der das Bundesgericht missbräuchlich anruft (Erw. 3).</w:t>
      </w:r>
    </w:p>
    <w:p>
      <w:r>
        <w:t>Regeste Art. 350 ch. 1 al. 2 CP, art. 263 PPF. 1. Le for légal constitue la règle, dont il n'est permis de s'écarter qu'exceptionnellement; exception exclue dans l'espèce considérée (consid. 1 et 2). 2. Condamnation aux frais prononcée contre le canton qui saisit abusivement le Tribunal fédéral (consid. 3).</w:t>
      </w:r>
    </w:p>
    <w:p>
      <w:r>
        <w:t>Regesto Art. 350 num. 1 cp. 2 mP; art. 263 PPF. 1. Il foro legale constituisce la regola, dalla quale si può derogare solo eccezionalmente; eccezione esclusa nella fattispecie (consid. 1 e 2). 2. Condanna alle spese pronunciata contro il Cantone che adisce abusivamente il Tribunale federale (consid. 3).</w:t>
      </w:r>
    </w:p>
    <w:p>
      <w:pPr>
        <w:pStyle w:val="Heading2"/>
      </w:pPr>
      <w:r>
        <w:t>Erwägungen</w:t>
      </w:r>
    </w:p>
    <w:p>
      <w:r>
        <w:rPr>
          <w:b/>
        </w:rPr>
        <w:t>E. 1</w:t>
      </w:r>
    </w:p>
    <w:p>
      <w:r>
        <w:t>Da die in Frage stehenden Delikte mit der gleichen Strafe bedroht sind und die Untersuchung zuerst im Kanton X. angehoben wurde, sind nach der Vorschrift des Art. 350 Ziff. 1 Abs. 2 StGB die Behörden dieses Kantons zuständig. Das wird auch von der Gesuchstellerin nicht bestritten. Zur Entscheidung steht daher bloss, ob sich aus Zweckmässigkeitsgründen ( Art. 263 BStP ) eine andere Lösung in dem Sinne aufdränge, dass der Gerichtsstand im Kanton Y. festzulegen sei. Die Frage ist zu verneinen.</w:t>
      </w:r>
    </w:p>
    <w:p>
      <w:r>
        <w:rPr>
          <w:b/>
        </w:rPr>
        <w:t>E. 2</w:t>
      </w:r>
    </w:p>
    <w:p>
      <w:r>
        <w:t>Der gesetzliche Gerichtsstand bildet die Regel, von der nur ausnahmsweise abgegangen werden darf. Die Tatsache, dass von dreizehn Diebstählen nebst einem BGE 86 IV 194 S. 195 Betruge acht im Kanton Y. verübt wurden, rechtfertigt sowenig eine von der gesetzlichen Norm abweichende Bestimmung der örtlichen Zuständigkeit wie der Umstand, dass die Schadenssumme bei den in Y. verübten Straftaten höher ist als der Deliktsbetrag bei dem im Kanton X. begangenen Diebstahl. Diese rein arithmetische Gegenüberstellung genügt, wie das Bundesgericht schon wiederholt entschieden hat, nicht zur Begründung des Schwergewichtes der verbrecherischen Tätigkeit in einem bestimmten Kanton. Andere Umstände (vgl. Schweiz. Juristische Kartothek, Karte 899, C III; BGE 83 IV 119 f., BGE 85 IV 205 ff., BGE 86 IV 63 ff. und dort angeführte Entscheidungen) werden aber weder von der Gesuchstellerin geltend gemacht noch durch die Akten belegt.</w:t>
      </w:r>
    </w:p>
    <w:p>
      <w:r>
        <w:rPr>
          <w:b/>
        </w:rPr>
        <w:t>E. 3</w:t>
      </w:r>
    </w:p>
    <w:p>
      <w:r>
        <w:t>Art. 156 Abs. 2 OG bestimmt, dass den Kantonen, die das Bundesgericht in ihrem amtlichen Wirkungskreis und ohne dass es sich um ihr Vermögensinteresse handelt, in Anspruch nehmen, in der Regel keine Gerichtskosten auferlegt werden. Nach der Rechtsprechung rechtfertigt sich eine Ausnahme von dieser Regel dann, wenn eine kantonale Behörde das Bundesgericht missbräuchlich anruft. Das ist im vorliegenden Falle geschehen. Denn bei Anwendung der durch die Anklagekammer aufgestellten Grundsätze hätte die Staatsanwaltschaft des Kantons X. erkennen können, dass ihr Gesuch aussichtslos ist. Die Kosten des Verfahrens sind daher dem Kanton X.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