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160</w:t>
      </w:r>
    </w:p>
    <w:p>
      <w:r>
        <w:t>Bundesgericht (BGE), 1960-01-01, DE</w:t>
      </w:r>
    </w:p>
    <w:p>
      <w:r>
        <w:rPr>
          <w:b/>
        </w:rPr>
        <w:t xml:space="preserve">Quelle: </w:t>
      </w:r>
      <w:r>
        <w:t>https://mcp.opencaselaw.ch/entscheid/bge_BGE_86_IV_160</w:t>
      </w:r>
    </w:p>
    <w:p>
      <w:r>
        <w:t>FR: ATF 86 IV 160</w:t>
      </w:r>
    </w:p>
    <w:p>
      <w:r>
        <w:t>IT: DTF 86 IV 160</w:t>
      </w:r>
    </w:p>
    <w:p>
      <w:pPr>
        <w:pStyle w:val="Heading2"/>
      </w:pPr>
      <w:r>
        <w:t>Regeste</w:t>
      </w:r>
    </w:p>
    <w:p>
      <w:r>
        <w:t>Regeste Art. 140 Ziff. 1 StGB. Ist eine Sache auch dann anvertraut, wenn der Mietkaufvertrag, auf Grund dessen sie dem Täter übergeben wurde, eine Umgehung von Art. 715 ZGB bezweckt? (Begriff des Mietkaufvertrages, Frage der Simulation, Folgen der Gesetzesumgehung).</w:t>
      </w:r>
    </w:p>
    <w:p>
      <w:r>
        <w:t>Regeste Art. 140 ch. 1 CP. Une chose est-elle aussi confiée lorsque le contrat de locationvente, sur le fondement duquel elle a été remise à l'auteur, tend à éluder la prescription de l'art. 715 CC? (définition du contrat de location-vente, question de la simulation, conséquences du fait que la loi a été éludée).</w:t>
      </w:r>
    </w:p>
    <w:p>
      <w:r>
        <w:t>Regesto Art. 140 num. 1 CP. Si tratta di cosa affidata anche nel caso che il contratto di locazione-vendita da cui ne dipende la consegna è inteso ad eludere la norma dell'art. 715 CC? (Nozione del contratto di locazionevendita.Questione della simulazione. Conseguenze dell'elusione della legge).</w:t>
      </w:r>
    </w:p>
    <w:p>
      <w:pPr>
        <w:pStyle w:val="Heading2"/>
      </w:pPr>
      <w:r>
        <w:t>Erwägungen</w:t>
      </w:r>
    </w:p>
    <w:p>
      <w:r>
        <w:rPr>
          <w:b/>
        </w:rPr>
        <w:t>E. 1</w:t>
      </w:r>
    </w:p>
    <w:p>
      <w:r>
        <w:t>Die zwischen der Beschwerdegegnerin und der Novelectric A.-G. getroffene Vereinbarung vom 9. März 1957 ist, wie es die Vorinstanz getan hat, als Mietkaufvertrag anzusprechen. Bei diesem Rechtsgeschäft verpflichtet sich der Vermieter-Verkäufer dem Mieter-Käufer gegen Entrichtung eines Mietzinses den Gebrauch einer Sache zu überlassen, an der dieser (Mieter-Käufer) zu einem späteren Zeitpunkt, sei es durch Bezahlung so vieler BGE 86 IV 160 S. 163 Mietzinse, dass deren Summe den vereinbarten Kaufpreis erreicht, sei es durch Geltendmachung eines ihm eingeräumten Kaufsrechtes, Eigentum erwirbt oder erwerben kann. Hauptzweck des Vertrages ist in der Regel die Veräusserung der Sache, wobei der Überlassung bzw. der Übernahme zum Gebrauch nach dem Willen der Parteien bloss die Bedeutung einer Nebenleistung zukommt. Nach herrschender Lehre (BECKER, Kommentar, N. 3 zu Art. 226 OR ; OSER/SCHÖNENBERGER, Kommentar, N. 4 zu Art. 226; HAAB/SIMONIUS/SCHERRER, Kommentar, N. 147 zu Art. 715/716 ZGB; SCHMUCKI, Der Mietkaufvertrag, S. 87, 100; STOFER, Der Abzahlungsvertrag de lege ferenda, ZSR 77 S. 215 a ff.; vgl. auch GUHL, Das Schweizerische Obligationenrecht, 5. Auflage, S. 270) und nach der Rechtsprechung verschiedener kantonaler Gerichte (vgl. SJZ 31 S. 331, 46 S. 161; ZR 45 Nr. 193 Erw. 1) handelt es sich bei einem solchen Geschäft in Wirrklichkeit um einen Kauf auf Abzahlung und finden deshalb die Bestimmungen der Art. 226 ff. OR Anwendung. Indessen ist nicht zu übersehen, dass die Parteien unter Umständen ein rechtmässiges Interesse an der Vereinbarung einer Miete haben können und dass nach dem Grundsatz der Vertragsfreiheit die Miete von Maschinen, Apparaten usw. auch in Verbindung mit einem Kaufsrecht zugunsten des Mieters zulässig ist. Wo bei derartigen Geschäften die Überlassung der Sache zum Gebrauch im Vordergrund steht und keine Gesetzesumgehung ( Art. 226 ff. OR , Art. 715 ZGB ) gewollt ist, liegt demnach ein gültiges Mietverhältnis vor (GUHL, a.a.O. S. 270; RStrS 1946 Nr. 106; ZR 50 Nr. 146; vgl. auch BGE 60 III 168 ).</w:t>
      </w:r>
    </w:p>
    <w:p>
      <w:r>
        <w:rPr>
          <w:b/>
        </w:rPr>
        <w:t>E. 2</w:t>
      </w:r>
    </w:p>
    <w:p>
      <w:r>
        <w:t>Angenommen, der Wille der Vertragsparteien sei im vorliegenden Fall nicht in erster Linie auf eine Veräusserung der Maschine, sondern darauf gerichtet gewesen, der Beschwerdegegnerin den Gebrauch an derselben zu überlassen, dann läge in der Verpfändung der Waschmaschine BGE 86 IV 160 S. 164 durch Frau Brunner unzweifelhaft eine Veruntreuung. Denn als Mieterin hätte die Beschwerdegegnerin kein Recht gehabt, über die ihr anvertraute Mietsache zu verfügen.</w:t>
      </w:r>
    </w:p>
    <w:p>
      <w:r>
        <w:rPr>
          <w:b/>
        </w:rPr>
        <w:t>E. 3</w:t>
      </w:r>
    </w:p>
    <w:p>
      <w:r>
        <w:t>Die Vorinstanz hält unter Berufung auf SCHMUCKI (a.a.O. S. 15, 81 ff., 100 ff.) dafür, dass die Vereinbarung vom 9. März 1957 als Mietkaufvertrag eine Umgehung von Art. 227 Abs. 2 und 3 OR und Art. 715 ZGB bezweckt habe. a) Dass mit dem Abschluss von Mietkaufverträgen nicht selten eine Umgehung des Verbotes der Verfallsklausel verfolgt wird, ist nicht zu bestreiten. Ob das jedoch bei solchen Rechtsgeschäften durchwegs und insbesondere auch dann zutreffe, wenn der vertraglich vereinbarte Zins den Betrag nicht übersteigt, den der Vermieter-Verkäufer allenfalls nach Art. 227 Abs. 2 OR als Gebrauchs- und Abnützungsenschädigung fordern könnte, erscheint zweifelhaft. Indessen braucht die Frage, die sich übrigens hier anhand der vorinstanzlichen Feststellungen nicht mit Bestimmheit beantworten liesse, nicht entschieden zu werden, weil jedenfalls feststeht, dass die Parteien mit der Vereinbarung vom 9. März 1957 Art. 715 ZGB umgehen wollten. b) Die Vorinstanz hat mit Recht eine Simulation nicht angenommen. Ein simuliertes Rechtsgeschäft setzt ein dissimuliertes voraus, das allein dem Willen der Parteien entspricht. Im vorliegenden Fall ist nicht ersichtlich, was für ein Rechtsgeschäft die Parteien mit dem Mietkaufvertrag hätten verdecken sollen. Keinesfalls war ein Kauf auf Abzahlung mit Eigentumsvorbehalt gewollt, ging doch die Absicht der Parteien gerade dahin, diesen rechtsgeschäftlichen Weg zu vermeiden. Zwar strebten sie einen ähnlichen wirtschaftlichen und rechtlichen Erfolg an, aber auf einem Wege, der ihnen die Begründung eines erst mit dem entsprechenden Registereintrag gültig werdenden Eigentumsvorbehaltes ersparte. Die Vereinbarung vom 9. März 1957 bringt somit den wahren Willen der Parteien BGE 86 IV 160 S. 165 zum Ausdruck, ohne irgendetwas zu verdecken. Tatsächlich findet sich denn auch in den Akten nicht der geringste Anhaltspunkt für eine geheime, ein anderes Rechtsgeschäft betreffende Abmachung der Parteien. Scheidet nach dem Gesagten eine Simulation aus, so liegt eine Umgehung von Art. 715 ZGB vor. Das schweizerische Recht räumt dem Veräusserer einer beweglichen Sache eine einzige Möglichkeit ein, sich die Eigentümerrechte an derselben nach Übertragung des Besitzes auf den Erwerber bis zur vollständigen Bezahlung zu wahren, nämlich die Vereinbarung eines Eigentumsvorbehaltes, dessen Rechtswirksamkeit vom Eintrag in das öffentliche Register abhängt. Indem hier die Parteien der Novelectric A.-G. auf dem Umweg über eine Miete das Eigentum an der der Beschwerdegegnerin in Hinsicht auf einen späteren Kauf gelieferten Waschmaschine vorbehielten, handelten sie in fraudem legis.</w:t>
      </w:r>
    </w:p>
    <w:p>
      <w:r>
        <w:rPr>
          <w:b/>
        </w:rPr>
        <w:t>E. 4</w:t>
      </w:r>
    </w:p>
    <w:p>
      <w:r>
        <w:t>Es kann sich daher fragen, ob die Umgehung einer Vorschrift, wie des Art. 715 ZGB , der im Sinne von Art. 2 SchlT zum ZGB um der öffentlichen Ordnung willen aufgestellt ist ( BGE 42 III 174 ), nicht gemäss Art. 20 OR Nichtigkeit des Rechtsgeschäftes zur Folge habe (vgl. BGE 54 II 440 , BGE 56 II 198 , BGE 72 II 73 ). Die Frage braucht nicht entschieden zu werden. Denn selbst wenn sie bejaht werden müsste, wäre das Ergebnis kein anderes als bei Annahme eines gültigen Mietkaufvertrages. a) Angenommen, die Vereinbarung vom 9. März 1957 sei nichtig gewesen, dann wurde der Beschwerdegegnerin trotz der Übergabe der Waschmaschine das Eigentum an dieser nicht übertragen. Denn ein nach Art. 20 OR nichtiger Vertrag zeitigt keinerlei rechtliche Wirkungen. Dagegen kann er zwischen den Parteien ein tatsächliches Vertrauensverhältnis begründen, das als Grundlage für die Überlassung einer Sache in Betracht fallen kann. Es wäre daher verfehlt anzunehmen, die Waschmaschine sei der Beschwerdegegnerin wegen der Ungültigkeit des "Mietvertrages" nicht anvertraut worden. Die zivilrechtliche BGE 86 IV 160 S. 166 Nichtigkeit der Vereinbarung schliesst eine strafbare Handlung nicht aus. Sowenig beispielsweise die Nichtigkeit eines durch arglistige Täuschung von einem Urteilsunfähigen erwirkten Darlehens der Annahme eines Betruges entgegensteht ( BGE 80 IV 157 i. f.), sowenig zerstört die in Art. 20 OR vorgesehene Nichtigkeitsfolge das Vertrauensverhältnis, auf Grund dessen eine der beiden Parteien der anderen eine Sache übergibt. Das wurde implicite bereits in BGE 73 IV 172 E. 2 angenommen; denn der zwischen den damaligen Parteien abgeschlossene Vertrag war - auch wenn das im betreffenden Entscheid nicht ausdrücklich hervorgehoben wurde - wegen seines rechtswidrigen Inhalts nichtig. Im vorliegenden Fall hat eine allfällige Nichtigkeit des Mietkaufvertrages weder die Novelectric A.-G. an der Lieferung der Waschmaschine noch Frau Brunner an deren Inbesitznahme gehindert. Solange die Maschine nicht voll abbezahlt war, blieb sie daher der Beschwerdegegnerin anvertraut. b) Anvertraut war ihr die Maschine aber auch dann, wenn man annimmt, die Gesetzesumgehung habe die Rechtsgültigkeit des Vertrages nicht berührt. Die Auffassung der Vorinstanz, dass die Vereinbarung vom 9. März 1957 als Kauf zu behandeln sei und dass demzufolge und mangels eines rechtsgültig begründeten Eigentumsvorbehaltes Frau Brunner an der Maschine Eigentum erworben habe, geht fehl. Die Annahme eines blossen Kaufes rechtfertigte sich nur, wenn die Vereinbarung vom 9. März 1957 dem Willen der Parteien nicht entspräche und als Scheingeschäft dazu gedient hätte, einen Kauf zu verdecken. Das war hier nicht der Fall. Nach der eigenen Feststellung der Vorinstanz war die Vereinbarung einer vorläufigen Miete, die später in einen Kauf konvertiert werden sollte nicht simuliert, sondern gewollt. Bei solcher Sachlage geht es nicht an, den vereinbarten Mietkaufvertrag in einen einfachen Kauf umzudeuten. Bei Auslegung eines Vertrages hat der Richter BGE 86 IV 160 S. 167 auf den übereinstimmenden wirklichen Willen der Parteien abzustellen ( Art. 18 OR ). Hätten im vorliegenden Fall die Parteien einen Kauf auf Abzahlung gewollt, dann hätten sie zweifellos nicht unterlassen, gleichzeitig einen Eigentumsvorbehalt zu vereinbaren; denn aus der Mehrzahl der schriftlich niedergelegten Vertragsklauseln erhellt unmissverständlich, dass eines der vordringlichsten Anliegen der Novelectric A.-G. war, sich das Eigentum an der Maschine solange zu wahren, als der Preis nicht voll bezahlt war. Dem hat das Obergericht nicht Rechnung getragen.</w:t>
      </w:r>
    </w:p>
    <w:p>
      <w:r>
        <w:rPr>
          <w:b/>
        </w:rPr>
        <w:t>E. 5</w:t>
      </w:r>
    </w:p>
    <w:p>
      <w:r>
        <w:t>Das angefochtene Urteil ist daher aufzuheben und die Sache an die Vorinstanz zurückzuweisen, damit sie prüfe, ob auch die übrigen Tatbestandsmerkmale der Veruntreuung gegeben seien. Soweit eine Gehilfenschaft Brunners in Frage steht, wird insbesondere abgeklärt werden müssen, ob der subjektive Tatbestand (Vorsatz) erfüllt sei. Dispositiv Demnach erkennt der Kassationshof: Die Nichtigkeitsbeschwerde wird gutgeheissen, das Urteil des Obergerichts des Kantons Schaffhausen vom 20. Mai 1960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