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153</w:t>
      </w:r>
    </w:p>
    <w:p>
      <w:r>
        <w:t>Bundesgericht (BGE), 1960-01-01, DE</w:t>
      </w:r>
    </w:p>
    <w:p>
      <w:r>
        <w:rPr>
          <w:b/>
        </w:rPr>
        <w:t xml:space="preserve">Quelle: </w:t>
      </w:r>
      <w:r>
        <w:t>https://mcp.opencaselaw.ch/entscheid/bge_BGE_86_IV_153</w:t>
      </w:r>
    </w:p>
    <w:p>
      <w:r>
        <w:t>FR: ATF 86 IV 153</w:t>
      </w:r>
    </w:p>
    <w:p>
      <w:r>
        <w:t>IT: DTF 86 IV 153</w:t>
      </w:r>
    </w:p>
    <w:p>
      <w:pPr>
        <w:pStyle w:val="Heading2"/>
      </w:pPr>
      <w:r>
        <w:t>Regeste</w:t>
      </w:r>
    </w:p>
    <w:p>
      <w:r>
        <w:t>Regeste Art. 117 StGB. Adäquater Kausalzusammenhang. Er setzt nicht voraus, dass der Eintritt des Erfolges für den Täter voraussehbar war; es genügt, dass das Verhalten des Täters unter den konkreten Umständen, wie sie vorlagen, objektiv, d.h. nach dem gewöhnlichen Lauf der Dinge und der allgemeinen Lebenserfahrung, geeignet war, einen Erfolg von der Art des eingetretenen herbeizuführen.</w:t>
      </w:r>
    </w:p>
    <w:p>
      <w:r>
        <w:t>Regeste Art. 117 CP. Causalité adéquate. Elle ne présuppose pas que l'auteur ait pu prévoir la survenance du résultat; il suffit que son comportement, dans les circonstances du cas, ait été objectivement - c'est-à-dire d'après le cours ordinaire des choses et l'expérience générale de la vie - de nature à entraîner un résultat semblable à celui qui s'est produit.</w:t>
      </w:r>
    </w:p>
    <w:p>
      <w:r>
        <w:t>Regesto Art. 117 CP. Causalità adeguata. Essa non presuppone che l'autore abbia potuto prevedere l'evento dannoso; è sufficiente che il comportamento di questi sia stato oggettivamente idoneo - vale a dire secondo il normale andamento delle cose e secondola comune esperienza - a produrre un evento simile a quello verificatosi.</w:t>
      </w:r>
    </w:p>
    <w:p>
      <w:pPr>
        <w:pStyle w:val="Heading2"/>
      </w:pPr>
      <w:r>
        <w:t>Erwägungen</w:t>
      </w:r>
    </w:p>
    <w:p>
      <w:r>
        <w:rPr>
          <w:b/>
        </w:rPr>
        <w:t>E. 1</w:t>
      </w:r>
    </w:p>
    <w:p>
      <w:r>
        <w:t>Die übersetzte Geschwindigkeit, mit der der Lastwagen in die unübersichtliche Strasseneinmündung fuhr, war eine der natürrlichen Ursachen des Zusammenstosses mit dem Stationswagen und damit auch der Tötung des Führers dieses Fahrzeuges. Für diese hat der Beschwerdeführer jedoch nur einzustehen, wenn zwischen seinem Verhalten und dem Tod Kobels ein rechtlich erheblicher Zusammenhang besteht. Nach ständiger Rechtsprechung des Kassationshofes, die vom Beschwerdeführer nicht angefochten wird, ist diese Voraussetzung immer dann erfüllt, wenn das Verhalten des Täters nach dem gewöhnlichen Lauf der Dinge geeignet war, einen Erfolg der eingetretenen Art herbeizuführen ( BGE 81 IV 255 , BGE 84 IV 63 Erw. 3 und dort angeführte Entscheidungen). Es kommt somit darauf an, ob die dem Beschwerdeführer zur Last gelegte Fahrweise unter Berücksichtigung der konkreten Umstände, unter denen sich der Zusammenstoss ereignet hat, nach allgemeiner Lebenserfahrung den Tod Kobels herbeiführen konnte. Das ist zu bejahen. Der schwere Lastwagen prallte mit einer Geschwindigkeit von nahezu 40 km/Std., die auf der glattgefahrenen Schneedecke trotz der im letzten Moment versuchten Bremsung nicht wesentlich verzögert werden konnte, frontal mit der linken vorderen Frontecke des einschwenkenden Stationswagens BGE 86 IV 153 S. 156 zusammen. Dass der Zusammenprall ein heftiger gewesen sein muss, ergibt sich auch aus der kräftigen Schleuderbewegung des Mähers, der Verschiebung des Stationswagens in der Fahrrichtung des Lastwagens und daraus, dass der Vorderteil des Lieferwagens stark eingedrückt worden ist. Ein so wuchtiger Zusammenstoss ist nach dem gewöhnlichen Lauf der Dinge geeignet, den Führer des Personenwagens tödlich zu verletzen; erfahrungsgemäss werden die Fahrzeugführer bei einer solchen Kollision nach vorne geworfen und erleiden beim Anprall an harte Bestandteile des Fahrzeuges Körperverletzungen, die häufig zum Tode führen. Der Umstand, dass im vorliegenden Falle die Kopfverletzungen, die Kobel beim Aufprall erlitten hat, nicht lebensgefährlich waren und sein Tod auf die durch den Motormäher verursachten inneren Verletzungen zurückzuführen ist, macht das Verhalten des Beschwerdeführers nicht zur inadäquaten Ursache. Denn massgebend ist einzig, ob der Zusammenstoss nach der Erfahrung des Lebens für sich allein hätte genügen können, um einen Erfolg von der Art des eingetretenen, d.h. die Tötung eines Menschen, herbeizuführen. Da dies zutrifft, war das verkehrswidrige Verhalten des Beschwerdeführers, das notwendige Voraussetzung des eingetretenen Todes war, auch rechtserhebliche Ursache dieses Erfolges. Von einer Unterbrechung des Kausalzusammenhanges durch das Einwirken des Motormähers kann infolgedessen nicht die Rede sein; eine Unterbrechung ist genau genommen überhaupt nicht möglich, da die Adäquanz des Kausalzusammenhanges entweder an sich schon fehlt oder aber trotz anderer Mitursachen vorhanden ist und dann nicht mehr unterbrochen werden kann. Unerheblich ist auch der Einwand des Beschwerdeführers, er habe nicht voraussehen können, dass Kobel eine so gefährliche Ladung mit sich führe, und deshalb nicht mit dieser zusätzlichen Gefährdung rechnen müssen. Ob das Verhalten des Beschwerdeführers objektiv geeignet BGE 86 IV 153 S. 157 war, den Enderfolg herbeizuführen, hängt nicht davon ab, was der Beschwerdeführer persönlich voraussehen konnte. Die Frage, was der Täter voraussehen konnte oder musste, ist subjektiver Natur und beim Verschulden zu prüfen. Wenn in verschiedenen Entscheidungen (z.B. BGE 83 IV 38 , BGE 84 IV 64 ) ausgeführt wurde, der Ablauf der Ereignisse sei nicht derart unsinnig gewesen, dass damit schlechterdings nicht habe gerechnet oder dass er nicht habe vorausgesehen werden können, so wollte mit diesen Ausdrücken nichts anderes gesagt werden, als dass eine vom Verletzten oder von einem Dritten gesetzte Mitursache die Rechtserheblichkeit des Kausalzusammenhanges nicht ausschliesse, wenn das Verhalten des Verletzten oder Dritten nach dem gewöhnlichen Lauf der Dinge und der allgemeinen Erfahrung, also objektiv betrachtet, innerhalb des normalen Geschehens liege.</w:t>
      </w:r>
    </w:p>
    <w:p>
      <w:r>
        <w:rPr>
          <w:b/>
        </w:rPr>
        <w:t>E. 2</w:t>
      </w:r>
    </w:p>
    <w:p>
      <w:r>
        <w:t>Das Ergebnis ist auch kein anderes, wenn man den Grad der Intensität der beiden konkurrierenden Ursachen miteinander vergleicht (vgl. OFTINGER, Haftpflichtrecht, 2. Aufl. S. 94 ff.; BGE 85 II 521 ). Nicht zu bestreiten ist, dass der Transport des 250 kg schweren Motormähers für Kobel eine nicht unbedeutende Gefahr begründete, da nach der Feststellung der Vorinstanz schon eine Stopbremsung bei einer Geschwindigkeit von 25 km/Std. genügt hätte, um das Seil, mit dem der Mäher am Wagen angebunden war, zu zerreissen und damit die Maschine in Bewegung zu setzen. Anderseits war aber auch die Gefahr, die der Beschwerdeführer durch die übersetzte Geschwindigkeit und die Missachtung des Vortrittsrechtes erzeugte, keine geringe. Die Möglichkeit, dass bei einem Zusammenstoss in der unübersichtlichen Einmündung Menschen tödlich verletzt werden konnten, war umso grösser, als es sich beim Fahrzeug des Beschwerdeführers um einen schweren Lastwagen handelte und die schmale und glatte Strasse zum Ausweichen oder brüsken Bremsen zum vornherein ungeeignet war. Selbst angenommen, die Gefahr, die mit dem Transport des Mähers BGE 86 IV 153 S. 158 verbunden war, habe die Gefahr, die durch das pflichtwidrige Verhalten des Beschwerdeführers hervorgerufen wurde, an Bedeutung übertroffen, so könnte gleichwohl nicht gesagt werden, diese habe jene so sehr in den Hintergrund gedrängt, dass das Mitführen des Mähers den Kausalverlauf völlig beherrscht habe und deshalb als einzige adäquate Ursache der Tötung erscheine.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