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145</w:t>
      </w:r>
    </w:p>
    <w:p>
      <w:r>
        <w:t>Bundesgericht (BGE), 1960-01-01, DE</w:t>
      </w:r>
    </w:p>
    <w:p>
      <w:r>
        <w:rPr>
          <w:b/>
        </w:rPr>
        <w:t xml:space="preserve">Quelle: </w:t>
      </w:r>
      <w:r>
        <w:t>https://mcp.opencaselaw.ch/entscheid/bge_BGE_86_IV_145</w:t>
      </w:r>
    </w:p>
    <w:p>
      <w:r>
        <w:t>FR: ATF 86 IV 145</w:t>
      </w:r>
    </w:p>
    <w:p>
      <w:r>
        <w:t>IT: DTF 86 IV 145</w:t>
      </w:r>
    </w:p>
    <w:p>
      <w:pPr>
        <w:pStyle w:val="Heading2"/>
      </w:pPr>
      <w:r>
        <w:t>Regeste</w:t>
      </w:r>
    </w:p>
    <w:p>
      <w:r>
        <w:t>Regeste Art. 30, 31 StGB. Der Privatstrafkläger, der gegen einen der Beteiligten Anklage erhebt, stellt damit gleichzeitig Strafantrag gegen die andern und kann deshalb auf das Antragsrecht nicht mehr verzichten, sondern nur noch den Antrag zurückziehen. Der Rückzug bedarf keiner ausdrücklichen Willenserklärung.</w:t>
      </w:r>
    </w:p>
    <w:p>
      <w:r>
        <w:t>Regeste Art. 30, 31 CP. L'accusateur privé, qui poursuit l'un des participants, porte en même temps et de ce fait plainte contre les autres; il ne peut donc plus renoncer à son droit de porter plainte, mais n'a plus que la faculté de retirer sa plainte. Ce retrait ne suppose aucune déclaration expresse de volonté.</w:t>
      </w:r>
    </w:p>
    <w:p>
      <w:r>
        <w:t>Regesto Art. 30, 31 CP. L'accusatore privato, che presenta querela contro uno dei compartecipi, persegue automaticamente anche gli altri, per cui non può più rinunciare al suo diritto di querela, ma soltanto recedere dalla sua proposta. Questo recesso non presuppone nessuna espressa dichiarazione di volontà.</w:t>
      </w:r>
    </w:p>
    <w:p>
      <w:pPr>
        <w:pStyle w:val="Heading2"/>
      </w:pPr>
      <w:r>
        <w:t>Erwägungen</w:t>
      </w:r>
    </w:p>
    <w:p>
      <w:r>
        <w:rPr>
          <w:b/>
        </w:rPr>
        <w:t>E. 1</w:t>
      </w:r>
    </w:p>
    <w:p>
      <w:r>
        <w:t>Art. 27 StGB schliesst, wenn der Verfasser eines ehrenrührigen Zeitungsartikels bekannt ist, die Bestrafung der nicht im Druckereigewerbe tätigen Personen, die nach den allgemeinen Vorschriften des StGB als Mittäter, Anstifter oder Gehilfe des Verfassers mitverantwortlich sind, nicht aus ( BGE 73 IV 67 ). Egger, der als Musiklehrer dem Verfasser des eingeklagten Zeitungsartikels die Unterlagen verschafft und bei der Veröffentlichung mitgewirkt hat, fällt als Mittäter oder als Teilnehmer an der Schmid zur Last gelegten Ehrverletzung in Betracht. Er ist daher Beteiligter im Sinne von Art. 30 StGB .</w:t>
      </w:r>
    </w:p>
    <w:p>
      <w:r>
        <w:rPr>
          <w:b/>
        </w:rPr>
        <w:t>E. 2</w:t>
      </w:r>
    </w:p>
    <w:p>
      <w:r>
        <w:t>Nach dieser Bestimmung sind alle Beteiligten zu verfolgen, wenn ein Antragsberechtigter gegen einen an der Tat Beteiligten Strafantrag stellt. Der Kassationshof hat diese Vorschrift dahin ausgelegt, dass auch in den Kantonen, deren Prozessrecht eine formelle Anklage gegen BGE 86 IV 145 S. 148 jeden der Beteiligten verlangt, schon mit dem gültig gestellten Antrag gegen einen Beteiligten bundesrechtlich die Voraussetzung zur Verfolgung der andern erfüllt ist, und zwar ohne Rücksicht darauf, in welchem Zeitpunkt gegenüber den andern Beteiligten Anklage erhoben wird ( BGE 80 IV 212 Erw. 2). Man könnte sich fragen, ob diese Auslegung mit dem vom Bundesrecht zwingend aufgestellten Grundsatz der Unteilbarkeit des Strafantrages vereinbar sei, mit andern Worten, ob die Verwirklichung dieses Prinzips nicht voraussetze, dass auch in den im Privatstrafklageprozess durchzuführenden Strafsachen das gegen einen Beteiligten angehobene Strafverfahren von Amtes wegen auf die andern ausgedehnt werde oder dass zum mindesten der Privatstrafkläger die prozessualen Handlungen, die zur Ingangsetzung des Strafverfahrens gegenüber den andern Beteiligten nach kantonalem Prozessrecht notwendig sind, innert der Antragsfrist des Art. 29 Abs. 1 StGB vornehme. Die erwähnte Entscheidung, auf die sich auch der Beschluss des Obergerichts stützt, wird jedoch von keiner der beteiligten Parteien angefochten, und ein zwingender Anlass, sie einer erneuten Prüfung zu unterziehen, besteht im vorliegenden Falle nicht. Die Frage kann daher offen bleiben.</w:t>
      </w:r>
    </w:p>
    <w:p>
      <w:r>
        <w:rPr>
          <w:b/>
        </w:rPr>
        <w:t>E. 3</w:t>
      </w:r>
    </w:p>
    <w:p>
      <w:r>
        <w:t>Geht man von der bisherigen Rechtsprechung aus, so hatte die am 30. August 1957 gegen Schmid innert der Antragsfrist und in der vom zürcherischen Prozessrecht geforderten Form anhängig gemachte Anklage gemäss Art. 30 StGB zugleich die Wirkung eines Strafantrages gegen alle Beteiligten, gleichgültig, ob diese bereits bekannt waren oder erst im Verlaufe der Untersuchung ermittelt wurden. Damit war auch gegen Egger, obschon in der Anklageschrift nicht genannt, nach Bundesrecht rechtswirksam Strafantrag gestellt; um das Untersuchungsverfahren gegen ihn auszulösen, bedurfte es nur noch der prozessrechtlich erforderlichen Anklage, die auch noch nach Ablauf der Frist des Art. 29 Abs. 1 StGB möglich war. Hat somit der Ankläger von seinem Recht, Strafantrag BGE 86 IV 145 S. 149 zu stellen, rechtsgültig Gebrauch gemacht, so konnte er, wie das Obergericht richtigerweise feststellt, auf die Ausübung dieses Rechtes nicht mehr verzichten, denn ein Verzicht setzt voraus, dass der Antrag noch nicht gestellt ist ( Art. 28 Abs. 5 StGB ). Ein bereits gestellter Strafantrag kann nur durch Rückzug im Sinne von Art. 31 StGB rechtsunwirksam gemacht werden. Das Obergericht ist der Meinung, dass der Rückzug des Strafantrages wie der Verzicht auf das Antragsrecht eine ausdrückliche Willenserklärung erfordere; der Wille des Berechtigten, den Strafantrag zurückzuziehen, müsse sich eindeutig und vorbehaltlos aus dem Wortsinn der Erklärung selbst ergeben. Dieser Auffassung steht der klare Wortlaut des Gesetzes entgegen, indem es nur in Art. 28 Abs. 5 für den Verzicht, nicht aber in Art. 31 für den Rückzug Ausdrücklichkeit verlangt. Demnach kann auf den Willen, den Strafantrag zurückzunehmen, auch aus den gesamten Umständen geschlossen werden, sofern er unmissverständlich zum Ausdruck kommt und nicht an eine Bedingung geknüpft ist ( BGE 79 IV 100 ). An den Rückzug des Strafantrages weniger strenge Anforderungen zu stellen als an den Verzicht, ist auch sachlich gerechtfertigt. Wer auf sein Antragsrecht verzichtet, tut es vor Anhebung der Strafuntersuchung und damit regelmässig in Ungewissheit über den Verlauf des Verfahrens und den möglichen Ausgang der Klage, während der Rückzug des Strafantrages im allgemeinen in einem Zeitpunkt erfolgt, in dem die Untersuchung bereits bestimmte Ergebnisse gezeitigt hat, so dass der Antragsteller den Entschluss in Kenntnis der Sach- und Prozesslage fassen kann.</w:t>
      </w:r>
    </w:p>
    <w:p>
      <w:r>
        <w:rPr>
          <w:b/>
        </w:rPr>
        <w:t>E. 4</w:t>
      </w:r>
    </w:p>
    <w:p>
      <w:r>
        <w:t>(Gekürzt) In der Eingabe vom 14. Oktober 1958 erklärte der Beschwerdeführer vorbehaltlos, er habe darauf verzichtet, die Bestrafung Eggers zu verlangen. Der Verzicht war als endgültiger zu verstehen, da der Beschwerdeführer ein für allemal von einer Anklage absehen und sich trotzdem der Einvernahme Eggers als Zeuge widersetzen konnte, in der Meinung, dieser sei als Mittäter befangen BGE 86 IV 145 S. 150 und verdiene als Zeuge keinen Glauben. Der Wille, keine Strafverfolgung einzuleiten, ergibt sich auch aus dem Verhalten des Beschwerdeführers in der Verhandlung vom 6. November 1958. Aus der Zeugenbelehrung und der entsprechenden Protokollierung war klar ersichtlich, dass Egger das Recht zur Zeugnisverweigerung nur deswegen abgesprochen wurde, weil die Erklärung des Beschwerdeführers vom 14. Oktober 1958 als verbindliche Zusicherung aufgefasst wurde, Egger laufe keine Gefahr, wegen seiner Aussagen vom Ankläger strafrechtlich verfolgt zu werden. Hätte der Beschwerdeführer seiner Erklärung eine weniger weit gehende Tragweite beigemessen, hätte er die Möglichkeit und nach Treu und Glauben auch die Pflicht gehabt, Vorbehalte anzubringen, was er jedoch unterliess. Schliesslich bestätigte der Beschwerdeführer den geäusserten Willen noch durch sein Schreiben vom 3. Januar 1959. Wenn er darin unter Hinweis auf die §§ 129/131 StPO bestritt, dass Egger ein Recht zur Zeugnisverweigerung habe, so wurde damit nicht bloss gesagt, dass Drittpersonen durch die Aussagen Eggers keinen Nachteilen ausgesetzt würden, sondern die Erklärung hatte, was aus dem Wortlaut des § 131 StPO folgt, gleichzeitig den Sinn, auch Egger selber laufe nicht Gefahr, strafrechtlich zur Verantwortung gezogen zu werden, wenn er als Zeuge aussage. Das gesamte Verhalten des Beschwerdeführers führt daher zum Schluss, dass er den Strafantrag gegen Egger zurückgezogen hat.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