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115</w:t>
      </w:r>
    </w:p>
    <w:p>
      <w:r>
        <w:t>Bundesgericht (BGE), 1960-01-01, DE</w:t>
      </w:r>
    </w:p>
    <w:p>
      <w:r>
        <w:rPr>
          <w:b/>
        </w:rPr>
        <w:t xml:space="preserve">Quelle: </w:t>
      </w:r>
      <w:r>
        <w:t>https://mcp.opencaselaw.ch/entscheid/bge_BGE_86_IV_115</w:t>
      </w:r>
    </w:p>
    <w:p>
      <w:r>
        <w:t>FR: ATF 86 IV 115</w:t>
      </w:r>
    </w:p>
    <w:p>
      <w:r>
        <w:t>IT: DTF 86 IV 115</w:t>
      </w:r>
    </w:p>
    <w:p>
      <w:pPr>
        <w:pStyle w:val="Heading2"/>
      </w:pPr>
      <w:r>
        <w:t>Regeste</w:t>
      </w:r>
    </w:p>
    <w:p>
      <w:r>
        <w:t>Regeste Art. 46 Abs. 1 und 3 MFV. Die zum Überholen erforderliche Strassenstrecke ist nicht frei, wenn nach der Verkehrslage mit der Möglichkeit gerechnet werden muss, dass während des Überholens ein Hindernis in die Fahrbahn treten könne; eine längere Autokolonne mit einer Geschwindigkeit von 100 km/Std. in einem Zug zu überholen, ist unvorsichtig.</w:t>
      </w:r>
    </w:p>
    <w:p>
      <w:r>
        <w:t>Regeste Art. 46 al. 1 et 3 RA. Le parcours nécessaire pour effectuer un dépassement n'est pas libre lorsqu'au regard du trafic, le conducteurdoit compter avec la possibilité que, pendant le dépassement, un obstacle survienne sur sa route; il est imprudent de dépasser d'un trait à 100 km/h. une longue colonne de voitures.</w:t>
      </w:r>
    </w:p>
    <w:p>
      <w:r>
        <w:t>Regesto Art. 46 cp. 1 e 3 RLA. Il tratto di strada necessario al sorpasso non è sgombro quando, secondo il traffico, il conducente deve tener conto della possibilità che, durante il sorpasso, si presenti un obstacolo sulla strada; è imprudente sorpassare d'un colpo a 100 km/h una lunga colonna di autovetture.</w:t>
      </w:r>
    </w:p>
    <w:p>
      <w:pPr>
        <w:pStyle w:val="Heading2"/>
      </w:pPr>
      <w:r>
        <w:t>Erwägungen</w:t>
      </w:r>
    </w:p>
    <w:p>
      <w:r>
        <w:rPr>
          <w:b/>
        </w:rPr>
        <w:t>E. 2</w:t>
      </w:r>
    </w:p>
    <w:p>
      <w:r>
        <w:t>Nach Art. 46 Abs. 1 MFV darf auf jeden Fall nur überholt werden, wenn die dazu erforderliche Strassenstrecke frei und übersichtlich ist. Frei ist sie aber nicht, wenn nach der Verkehrslage mit der nahen Möglichkeit gerechnet werden muss, dass während des Überholens ein BGE 86 IV 115 S. 118 Hindernis in die Fahrbahn treten, das Manöver also nicht gefahrlos zu Ende geführt werden könne. Mit dieser Möglichkeit hatte der Beschwerdeführer zu rechnen. Wenn die Führer der drei oder vier Personenwagen auf der geraden und übersichtlichen Strecke auf den Lastenzug und den Möbelwagen, die sich mit einer Geschwindigkeit von höchstens 20 km/Std. fortbewegten, aufgeschlossen hatten, ohne selber das Überholen zu versuchen, so hatten sie hiezu offensichtlich einen besonderen Grund, der vor allem darin bestehen konnte, dass die Kolonne entweder einem auf der rechten Strassenseite befindlichen Hindernis nach links ausweichen musste oder dass der Führer eines der beiden ersten Fahrzeuge die Absicht angekündigt hatte, nach links abzubiegen. Um das zu erkennen, bedurfte es keiner Hellseherei, wie der Beschwerdeführer geltend macht, sondern einfacher, pflichtgemässer Überlegung. Freilich ist nicht zu bestreiten, dass es immer wieder Motorfahrzeugführer gibt, die zwei hintereinander fahrende Grosswagen nicht zu überholen wagen und damit zur Bildung einer Autokolonne Anlass geben. Auch wenn man diese Erfahrungstatsache berücksichtigt, so durfte jedoch der Beschwerdeführer die andere, mindestens ebenso nahe liegende Möglichkeit nicht ausser acht lassen, dass die Stauung auf ein drohendes Hindernis in der Überholungsstrecke zurückzuführen sei. Unter diesen Umständen gebot die Vorsicht, das Überholen der Kolonne solange nicht durchzuführen, als die Lage nicht abgeklärt war. Selbst wenn man von den erwähnten Besonderheiten absieht, die auf ein bevorstehendes Hindernis hinwiesen, so war es aber auch unvorsichtig, mit einer Geschwindigkeit, die nach den eigenen Angaben des Beschwerdeführers gegen 100 km/Std. oder sogar mehr betrug, die ganze Kolonne in einem Zug zu überholen. Bei so hohen Geschwindigkeiten ist es dem Überholenden nicht mehr möglich, ausser der gesamten Verkehrssituation auch noch das Verhalten jedes einzelnen der nacheinander zu überholenden Kolonnenfahrer zu überblicken und der zu gewärtigenden BGE 86 IV 115 S. 119 Gefahr, dass ein Fahrzeug der Kolonne zum Überholen nach links ausbiegt, wirksam begegnen zu können. Wollte der Beschwerdeführer das Überholungsmanöver schon in Angriff nehmen, so musste er jedenfalls die Geschwindigkeit so bemessen, dass sie ihm erlaubte, sich nötigenfalls wieder zurückfallen zu lassen und hinter den letzten Wagen oder in eine Lücke einzubiegen. Wäre er dieser Vorsichtspflicht nachgekommen, so hätte er nicht nur rechtzeitig die auffallend geringe Geschwindigkeit der Kolonne festgestellt, sondern auch das Abbiegen des Lastenzuges und schon vorher dessen Blinklichter und Richtungsanzeiger frühzeitig genug bemerkt, um das begonnene Manöver abbrechen zu können. Die Vorinstanz hat demzufolge den Beschwerdeführer mit Recht der Übertretung von Art. 46 Abs. 3 MFV schuldig erklärt.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