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111</w:t>
      </w:r>
    </w:p>
    <w:p>
      <w:r>
        <w:t>Bundesgericht (BGE), 1960-01-01, DE</w:t>
      </w:r>
    </w:p>
    <w:p>
      <w:r>
        <w:rPr>
          <w:b/>
        </w:rPr>
        <w:t xml:space="preserve">Quelle: </w:t>
      </w:r>
      <w:r>
        <w:t>https://mcp.opencaselaw.ch/entscheid/bge_BGE_86_IV_111</w:t>
      </w:r>
    </w:p>
    <w:p>
      <w:r>
        <w:t>FR: ATF 86 IV 111</w:t>
      </w:r>
    </w:p>
    <w:p>
      <w:r>
        <w:t>IT: DTF 86 IV 111</w:t>
      </w:r>
    </w:p>
    <w:p>
      <w:pPr>
        <w:pStyle w:val="Heading2"/>
      </w:pPr>
      <w:r>
        <w:t>Regeste</w:t>
      </w:r>
    </w:p>
    <w:p>
      <w:r>
        <w:t>Regeste Art. 45 Abs. 2 MFV, Art. 3 Abs. 1 Sig V. Die Nichtbeachtung der Sicherheitslinie ist nur strafbar, wenn sie vom Motorfahrzeugführer bei gehöriger Aufmerksamkeit ohne weiteres als solche erkannt werden kann.</w:t>
      </w:r>
    </w:p>
    <w:p>
      <w:r>
        <w:t>Regeste Art. 45 al. 2 RA, art. 3 al. 1 OSR. L'inobservation d'une ligne de démarcation n'est punissable que si, en faisant preuve de l'attention voulue, le conducteur pouvait distinguer cette ligne sans difficulté.</w:t>
      </w:r>
    </w:p>
    <w:p>
      <w:r>
        <w:t>Regesto Art. 45 cp. 2 RLA, art. 3 cp. 1 dell'O concernente la segnalazione stradale. L'inosservanza di una linea di sicurezza è punibile soltanto se, prestando la debita attenzione, il conducente può distinguere questa linea senza difficoltà.</w:t>
      </w:r>
    </w:p>
    <w:p>
      <w:pPr>
        <w:pStyle w:val="Heading2"/>
      </w:pPr>
      <w:r>
        <w:t>Erwägungen</w:t>
      </w:r>
    </w:p>
    <w:p>
      <w:r>
        <w:rPr>
          <w:b/>
        </w:rPr>
        <w:t>E. 1</w:t>
      </w:r>
    </w:p>
    <w:p>
      <w:r>
        <w:t>Nach Art. 3 Abs. 1 der Signalverordnung vom 17. Oktober 1932 müssen Strassensignale so aufgestellt BGE 86 IV 111 S. 112 werden, dass sie vom Führer leicht erkannt werden können. Unter Signal werden in dieser Verordnung und in den sie ergänzenden oder abändernden Erlassen (vgl. insbesondere BRB vom 28. Juni 1949 und 3. März 1958) streng genommen nur Tafeln mit Bildern und Aufschriften verstanden, nicht auch Markierungen, die auf der Strasse selber aufgetragen werden. Die Bedeutung der Bodenmarkierungen, soweit sie im Interesse der Verkehrssicherheit den Strassenverkehr ordnen, steht indessen derjenigen der Signaltafeln nicht nach, weshalb die erwähnte Vorschrift des Art. 3 Abs. 1 SigV sinngemäss auch auf Bodensignale wie Sicherheitslinien, Einspurlinien usw. anwendbar ist. Die Nichtbeachtung solcher Signale ist daher ebenfalls nur strafbar, wenn sie vom Führer leicht erkannt werden können. Das trifft zu, wenn sie bei gehöriger Aufmerksamkeit erkennbar sind, nicht aber, wenn sie infolge Abnützung oder aus anderen Gründen kaum mehr sichtbar sind.</w:t>
      </w:r>
    </w:p>
    <w:p>
      <w:r>
        <w:rPr>
          <w:b/>
        </w:rPr>
        <w:t>E. 2</w:t>
      </w:r>
    </w:p>
    <w:p>
      <w:r>
        <w:t>Nach der Feststellung des Obergerichtes, die den Kassationshof gemäss Art. 273 lit. b und Art. 277 bis Abs. 1 BStP bindet, war am 17. Oktober 1958 die Sicherheitslinie auf der in Frage stehenden Strecke nur leicht abgefahren, was bedeutet, dass der weisse Farbanstrich auf der Asphaltstrasse nicht stark abgenützt war. Eine so beschaffene Sicherheitslinie kann nach allgemeiner Lebenserfahrung von Motorfahrzeugführern ohne weiteres als solche erkannt werden. Was die Spiegelung auf der nassen Strasse betrifft, welche die Erkennbarkeit der Sicherheitslinie ausgeschlossen haben soll, stellt die Vorinstanz verbindlich fest, dass sie nicht wesentlich grösser gewesen sei, als sie auf den Photographien der Polizei zu Tage trete. Auf diesen Bildern ist eine Spiegelung auf dem Strassenbelag kaum wahrzunehmen und die Sicherheitslinie auf eine grössere Entfernung gut sichtbar. Waren aber die Beleuchtungs- und Sichtverhältnisse, die der Beschwerdeführer angetroffen hat, nur wenig schlechter, als sie auf diesen Photographien feststellbar sind, so waren sie immer noch so gut, dass die Sicherheitslinie vom Beschwerdeführer bei BGE 86 IV 111 S. 113 gehöriger Aufmerksamkeit erkannt werden konnte. Wenn er sie trotzdem nicht gesehen hat, war er pflichtwidrig unaufmerksam, so dass ihn der Vorwurf der Fahrlässigkeit im Sinne des Art. 18 Abs. 3 StGB trifft. Er kann sich demzufolge nicht auf Irrtum über den Sachverhalt berufen und ist gemäss Art. 19 Abs. 2 StGB in Verbindung mit Art. 65 Abs. 1 MFG und Art. 45 Abs. 2 MFV zu Recht wegen Überfahrens der Sicherheitslinie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