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102</w:t>
      </w:r>
    </w:p>
    <w:p>
      <w:r>
        <w:t>Bundesgericht (BGE), 1960-01-01, IT</w:t>
      </w:r>
    </w:p>
    <w:p>
      <w:r>
        <w:rPr>
          <w:b/>
        </w:rPr>
        <w:t xml:space="preserve">Quelle: </w:t>
      </w:r>
      <w:r>
        <w:t>https://mcp.opencaselaw.ch/entscheid/bge_BGE_86_IV_102</w:t>
      </w:r>
    </w:p>
    <w:p>
      <w:r>
        <w:t>FR: ATF 86 IV 102</w:t>
      </w:r>
    </w:p>
    <w:p>
      <w:r>
        <w:t>IT: DTF 86 IV 102</w:t>
      </w:r>
    </w:p>
    <w:p>
      <w:pPr>
        <w:pStyle w:val="Heading2"/>
      </w:pPr>
      <w:r>
        <w:t>Regeste</w:t>
      </w:r>
    </w:p>
    <w:p>
      <w:r>
        <w:t>Regeste Art. 268 BStP. Die von der tessinischen Staatsanwaltschaft gemäss Art. 68 StPO getroffene Verfügung, wonach die Strafverfolgung fallen gelassen werde, ist für die Bundesanwaltschaft eine Einstellungsverfügung letzter Instanz im Sinne von Art. 268 Abs. 3 BStP. Art. 238 StGB. Diese Bestimmung schützt den technischen Bahnbetrieb als Ganzes. Sie ist auf jedes Verhalten anwendbar, durch das die ordnungsgemässe Verschiebung von Personen- oder Güterwagen gestört wird, unbekümmert darum, ob es sich bei ihr um fahrplanmässigen Verkehr oder um Rangierverkehr handle.</w:t>
      </w:r>
    </w:p>
    <w:p>
      <w:r>
        <w:t>Regeste Art. 268 PPF. L'ordonnance par laquelle le Procureur général du Tessin renonce à la poursuite en vertu de l'art. 68 PP tes. constitue, pour le Ministère public de la Confédération, une ordonnance de non-lieu rendue en dernière instance selon l'art. 268 PPF. Art. 238 CP. Cette disposition légale protège l'ensemble du service technique des chemins de fer. Elle s'applique à tout comportement qui trouble le déplacement régulier d'une voiture à voyageurs ou d'un wagon à marchandises; peu importe qu'il s'agisse de transports soumis à un horaire ou de manoeuvres pour la composition des convois.</w:t>
      </w:r>
    </w:p>
    <w:p>
      <w:r>
        <w:t>Regesto Art. 268 PPF. Il decreto d'abbandono emanato dal Procuratore pubblico ticinese secondo l'art. 68 CPP costituisce, per il Ministero pubblico della Confederazione, una dichiarazione di non doversi procedere emessa in ultima istanza a'sensi dell'art. 268 PPF. Art. 238 CP. Questa norma tutela tutto il complesso del servizio tecnico ferroviario. Essa si applica ad ogni comportamento che perturbi il regolare spostamento di una vettura o carro ferroviario, indipendentemente dal fatto che si tratti di trasporti ad orario fisso o di manovre per la composizione dei convogli.</w:t>
      </w:r>
    </w:p>
    <w:p>
      <w:pPr>
        <w:pStyle w:val="Heading2"/>
      </w:pPr>
      <w:r>
        <w:t>Erwägungen</w:t>
      </w:r>
    </w:p>
    <w:p>
      <w:r>
        <w:rPr>
          <w:b/>
        </w:rPr>
        <w:t>E. 1</w:t>
      </w:r>
    </w:p>
    <w:p>
      <w:r>
        <w:t>L'art. 68 del codice di procedura penale ticinese del 10 luglio 1941 non prevede alcuna possibilità di ricorso contro il decreto d'abbandono del Procuratore pubblico. L'unico rimedio è accordato alla parte civile, che ha comunque la facoltà di chiedere l'apertura dell'istruzione formale e, questa compiuta, di proporre l'accusa, sulla cui ammissione decide la Camera dei ricorsi. Il Ministero pubblico della Confederazione non ha, in sede cantonale, alcuna possibilità di aggravarsi da un siffatto decreto. A suo riguardo, il decreto d'abbandono deve pertanto essere considerato come una dichiarazione di non doversi procedere emessa in ultima istanza a'sensi dell'art. 268 PPF e quindi impugnabile mediante ricorso al Tribunale federale. Peraltro, tale è già stato giudicato il decreto d'abbandono del Procuratore pubblico emanato sotto l'impero dell'art. 75 del vecchio codice cantonale di procedura penale del 1895, il cui testo era sostanzialmente identico a quello dello art. 68 del nuovo codice (RU 67 I 315). Gli interessati non hanno sollevato al riguardo alcuna obiezione e il Procuratore pubblico ha esplicitamente riconosciuto la ricevibilità del ricorso.</w:t>
      </w:r>
    </w:p>
    <w:p>
      <w:r>
        <w:rPr>
          <w:b/>
        </w:rPr>
        <w:t>E. 2</w:t>
      </w:r>
    </w:p>
    <w:p>
      <w:r>
        <w:t>Secondo l'art. 238 CP è punibile chi perturba e pone in pericolo il servizio delle strade ferrate e mette con ciò in pericolo la vita o l'integrità delle persone o la BGE 86 IV 102 S. 105 proprietà altrui, in modo particolare chiunque cagiona il pericolo di un deviamento o scontro di treni. Il Giudice cantonale ha esposto nelle sue osservazioni che il termine "servizio" del testo italiano non corrisponde al termine "Verkehr" contenuto nel testo tedesco ed equivalente al termine italiano "traffico". Per traffico ferroviario dovrebbe intendersi, secondo l'impugnato decreto, soltanto il trasporto di persone o di merci e non le manovre ausiliarie effettuate nell'interno della stazione. Essendosi verificato nell'ambito di queste operazioni, l'incidente occorso a Chiesa e Galfetti non cadrebbe sotto la sanzione stabilita nell'art. 238 CP. Tale opinione non può essere condivisa. Anzitutto perchè, in senso lato, costituiscono "traffico" anche le suddette operazioni ausiliarie, poi perchè il testo italiano della legge è, come quello tedesco, testo originale. Comunque, la norma legislativa deve essere interpretata tenendo conto del fine che si prefigge e del bene pubblico che, con essa, il legislatore ha intenso tutelare. Questa speciale norma ha la sua ratio nell'importanza del traffico ferroviario e nella particolare pericolosità di ogni servizio tecnico che lo concerne. Ogni incidente che si verifichi sui binari o sulla linea della ferrovia perturba, direttamente o indirettamente, il traffico ferroviario. "Es ist nicht ein bestimmter Eisenbahnzug, sondern der Eisenbahnverkehr als Ganzes geschützt. Es handelt sich um die Sicherstellung des ganzen Betriebes" (STÄMPFLI, Bundesanwalt, in SJZ, 24, p. 338 sull'art. 67 del vecchio codice penale federale, al riguardo simile all'art. 238 CP). L'art. 238 CP tutela, quindi, tutto il complesso del servizio tecnico ferroviario. Peraltro, la giurisprudenza ha costantemente stabilito che la citata norma si applica ad ogni comportamento che perturbi il regolare trasferimento di una vettura o carro ferroviario. È pertanto indifferente che l'incidente si riferisca a trasporti ad orario fisso od a manovre per la composizione dei convogli od ausiliarie, che si verifichi sui binari di trasporto o su quelli di manovra BGE 86 IV 102 S. 106 (RU 54 I 362; sentenza non pubblicata del 17 sett. 1954 sul caso Schneider, consid. 2). Rilevante è unicamente il fatto che, in siffatta circostanza, il comportamento dell'autore abbia messo in pericolo persone o beni. Ma anche a questo riguardo è sufficiente che si tratti di persone o beni altrui, vale a dire di persone diverse dall'autore o di beni che a questi non appartengono, come in concreto erano le altre persone addette alla manovra e i beni della ferrovia (RU 78 IV 104; 80 IV 182 ; 84 IV 20 ). Infatti non si comprenderebbe che da questa protezione siano esclusi gli impianti ferroviari e, particolarmente, i funzionari addetti alla manovra, più di ogni altra persona esposti ai pericoli del servizio ferroviario.</w:t>
      </w:r>
    </w:p>
    <w:p>
      <w:r>
        <w:rPr>
          <w:b/>
        </w:rPr>
        <w:t>E. 3</w:t>
      </w:r>
    </w:p>
    <w:p>
      <w:r>
        <w:t>Secondo l'art. 238, cp. 2 CP è punibile anche il perturbamento del servizio causato da negligenza, ma solo nel caso che il pericolo a cui siano state esposte l'integrità delle persone o la proprietà altrui sia grave, come è sempre il caso quando, pienamente verificandosi le conseguenze della messa in pericolo, il danno risulti rilevante (RU 72 IV 27, 69). In concreto, essendosi verificato un danno ammontante a circa 35 400 fr., tale presupposto è senza dubbio adempiuto.</w:t>
      </w:r>
    </w:p>
    <w:p>
      <w:r>
        <w:rPr>
          <w:b/>
        </w:rPr>
        <w:t>E. 4</w:t>
      </w:r>
    </w:p>
    <w:p>
      <w:r>
        <w:t>Il Giudice cantonale, emanando il decreto di abbandono ha pertanto erroneamente interpretato l'art. 238 CP. Discutibile è solo il problema di sapere se, ed in quale misura, il comportamento colposo del manovratore Chiesa e del macchinista Galfetti, o di entrambi, abbia contribuito al verificarsi dell'incidente. A questo proposito al Giudice cantonale incombono ancora le necessarie costatazioni che non risultano dagli atti. Dispositiv Il Tribunale federale pronuncia: Il ricorso è accolto, il decreto di abbandono annullato e la causa rinviata al Procuratore pubblico della Giurisdizione sottocenerina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