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86 II 201</w:t>
      </w:r>
    </w:p>
    <w:p>
      <w:r>
        <w:t>Bundesgericht (BGE), 1960-01-01, FR</w:t>
      </w:r>
    </w:p>
    <w:p>
      <w:r>
        <w:rPr>
          <w:b/>
        </w:rPr>
        <w:t xml:space="preserve">Quelle: </w:t>
      </w:r>
      <w:r>
        <w:t>https://mcp.opencaselaw.ch/entscheid/bge_BGE_86_II_201</w:t>
      </w:r>
    </w:p>
    <w:p>
      <w:r>
        <w:t>FR: ATF 86 II 201</w:t>
      </w:r>
    </w:p>
    <w:p>
      <w:r>
        <w:t>IT: DTF 86 II 201</w:t>
      </w:r>
    </w:p>
    <w:p>
      <w:pPr>
        <w:pStyle w:val="Heading2"/>
      </w:pPr>
      <w:r>
        <w:t>Regeste</w:t>
      </w:r>
    </w:p>
    <w:p>
      <w:r>
        <w:t>Regeste Art. 28 ZGB, 20 OR; Persönlichkeitsrecht. Es bedeutet einen widerrechtlichen Eingriff in das Persönlichkeitsrecht, wenn durch den Entscheid einer Privatperson oder durch die von einer Körperschaft des Privatrechts getroffene Ordnung jemandem die Ausübung einer durch die Verwaltungsbehörde ausdrücklich erlaubten Tätigkeit praktisch verunmöglicht wird.</w:t>
      </w:r>
    </w:p>
    <w:p>
      <w:r>
        <w:t>Regeste Art. 28 CC, 20 CO; droits de la personnalité. Constitue une atteinte illicite aux droits de la personnalité la décision d'une personne privée ou une réglementation corporative de droit privé, qui rendent illusoire l'exercice d'une activité expressément autorisée par l'administration.</w:t>
      </w:r>
    </w:p>
    <w:p>
      <w:r>
        <w:t>Regesto Art. 28 CC, 20 CO; diritti della personalità. Costituisce lesione illecita ai diritti della personalità la decisione di una persona privata o una regolamentazione corporativa di diritto privato che rendono illusorio l'esercizio di un'attività espressamente autorizzata dall'amministrazione.</w:t>
      </w:r>
    </w:p>
    <w:p>
      <w:pPr>
        <w:pStyle w:val="Heading2"/>
      </w:pPr>
      <w:r>
        <w:t>Erwägungen</w:t>
      </w:r>
    </w:p>
    <w:p>
      <w:r>
        <w:rPr>
          <w:b/>
        </w:rPr>
        <w:t>E. 1</w:t>
      </w:r>
    </w:p>
    <w:p>
      <w:r>
        <w:t>Le recourant soutient que l'art. 2 de la convention du 24 octobre 1941 restreint sa liberté économique d'une manière excessive et que, partant, il doit être annulé BGE 86 II 201 S. 204 conformément à l'art. 20 CO. Certes, cette convention a des conséquences très lourdes pour le recourant. Elle dispose cependant que l'intimée peut autoriser ce dernier à fabriquer la boîte en grandes séries. L'autorisation ainsi prévue ne pourra pas dépendre de n'importe quelle condition. Elle devra être accordée ou refusée selon que le recourant satisfera ou non aux exigences posées par le règlement de la FB. La convention, qui date d'une époque où la corporation recourait au contrat particulier plutôt qu'à la réglementation générale pour atteindre ses buts, ne saurait être interprétée autrement. Elle apparaît ainsi comme le moyen pour l'intimée d'obtenir du recourant le respect de la réglementation corporative exprimée dans les règlements de la FB. Sa validité se confond dès lors avec celle de la réglementation qu'attaque le recourant. Il n'y a donc pas lieu de l'examiner pour elle-même.</w:t>
      </w:r>
    </w:p>
    <w:p>
      <w:r>
        <w:rPr>
          <w:b/>
        </w:rPr>
        <w:t>E. 2</w:t>
      </w:r>
    </w:p>
    <w:p>
      <w:r>
        <w:t>Tenant compte des intérêts supérieurs de l'horlogerie dans son ensemble, la Confédération limite l'ouverture, l'agrandissement ou la transformation d'entreprises dans ce secteur de l'économie et n'accorde des autorisations que dans la mesure compatible avec le maintien d'une industrie saine. Les associations horlogères n'ont dès lors plus la faculté d'adopter une réglementation privée qui serait fondée sur les mêmes considérations que la législation fédérale et qui aggraverait les conditions d'ouverture, d'extension ou de transformation d'une entreprise horlogère. Comme l'a exposé le Conseil fédéral dans son message du 6 octobre 1950 à l'appui de l'arrêté fédéral du 22 juin 1951 sur les mesures propres à sauvegarder l'existence de l'industrie horlogère suisse (AIH), "celui qui a obtenu une autorisation doit pouvoir s'en servir... Il serait inadmissible qu'un groupement professionnel ou une tierce personne la rendît illusoire, par exemple en refusant l'admission du titulaire dans l'organisation intéressée" (FF 1950 III p. 99). Ce principe a trouvé son expression à l'art. 4 al. 6 AIH, aux termes duquel "le Conseil fédéral prendra les mesures nécessaires BGE 86 II 201 S. 205 pour qu'un permis ... ne puisse être rendu inopérant par un ou plusieurs groupements professionnels". Ces considérations s'appliquent au cas particulier de bijoutiers-joailliers qui demandent l'autorisation d'étendre leur activité à la fabrication de boîtes de montres en or et en platine. Selon une pratique, confirmée dans son principe par le Tribunal fédéral (RO 79 I 378, 84 I 252), l'autorité administrative tient compte de la concurrence que les bijoutiers-joailliers pourraient faire aux entreprises horlogères spécialisées dans la fabrication des boîtes de montres. La réglementation de la FB ne saurait donc tendre, elle aussi, à sauvegarder les intérêts que les entreprises horlogères possèdent à cet égard ni, sous prétexte de protéger ces intérêts, rendre illusoire un permis accordé par l'autorité administrative. En l'état de la cause, on ne saurait affirmer que le règlement adopté par la FB le 26 mai 1956 ait de telles conséquences, car il prévoit que le comité central de la FB peut accorder l'autorisation de fabriquer des boîtes rondes (art. 6). Or, en sa qualité de membre de l'intimée, le recourant est en principe lié par les décisions de l'Association genevoise et de la FB, sauf s'il établit qu'elles violent des dispositions légales. Il lui incombe donc - ce qu'il n'a pas encore fait - d'user de la faculté que lui confère l'art 6 précité. La réglementation de la FB ne pourra apparaître comme illicite que suivant le contenu de la décision qui sera prise sur la demande du recourant et notamment si l'autorisation sollicitée est refusée ou si elle est assortie de conditions prohibitives ou non objectivement justifiées, si par exemple l'indemnité réclamée au recourant ne représente pas la contre-partie équitable d'avantages qui lui seraient assurés. Le recourant pourrait alors s'adresser à l'administration, conformément à l'art. 4 al. 6 AIH. Il aurait également la faculté de saisir les tribunaux ordinaires sans qu'on puisse lui opposer cette dernière disposition, car une décision d'une personne privée ou une réglementation corporative de droit privé, BGE 86 II 201 S. 206 qui rendent illusoire l'exercice d'une activité expressément autorisée par l'administration, constituent une atteinte illicite aux droits de la personnalité, atteinte que le juge a la compétence de faire cesser en vertu soit des art. 28 CC et 41 al. 2 CO, soit de l'art. 20 CO. Comme l'action ne tendrait alors pas à l'annulation d'une décision irrégulière de l'Association mais à la cessation d'une atteinte illicite aux droits personnels, elle ne serait pas subordonnée à l'observation du délai prévu par l'art. 75 CC. Actuellement toutefois, comme le recourant n'a pas sollicité l'autorisation prévue par l'art. 6 du règlement de 1956, on ignore comment cette disposition sera appliquée et si l'usage qui en sera fait empêchera le recourant d'exercer l'activité pour laquelle il a reçu autorisation, ou la soumettra à des conditions prohibitives. L'action ne peut donc être que rejetée. Il s'ensuit que l'arrêt attaqué doit être confirmé sans qu'il soit nécessaire d'examiner encore les autres questions soulevées par le recourant.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