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159</w:t>
      </w:r>
    </w:p>
    <w:p>
      <w:r>
        <w:t>Bundesgericht (BGE), 1960-01-01, FR</w:t>
      </w:r>
    </w:p>
    <w:p>
      <w:r>
        <w:rPr>
          <w:b/>
        </w:rPr>
        <w:t xml:space="preserve">Quelle: </w:t>
      </w:r>
      <w:r>
        <w:t>https://mcp.opencaselaw.ch/entscheid/bge_BGE_86_II_159</w:t>
      </w:r>
    </w:p>
    <w:p>
      <w:r>
        <w:t>FR: ATF 86 II 159</w:t>
      </w:r>
    </w:p>
    <w:p>
      <w:r>
        <w:t>IT: DTF 86 II 159</w:t>
      </w:r>
    </w:p>
    <w:p>
      <w:pPr>
        <w:pStyle w:val="Heading2"/>
      </w:pPr>
      <w:r>
        <w:t>Regeste</w:t>
      </w:r>
    </w:p>
    <w:p>
      <w:r>
        <w:t>Regeste Aktiengesellschaft. Statutenbestimmung, wonach der Verwaltungsrat für seine Tätigkeit eine Vergütung erhält. Gesichtspunkte für den Entscheid, ob deren Betrag sich rechtfertigt. Einfluss der finanziellen Lage der Gesellschaft.</w:t>
      </w:r>
    </w:p>
    <w:p>
      <w:r>
        <w:t>Regeste Société anonyme. Statuts disposant que le conseil d'administration est rémunéré pour son activité. Critères pour apprécier si le montant de la rétribution est justifié. Importance de la situation financière de la société.</w:t>
      </w:r>
    </w:p>
    <w:p>
      <w:r>
        <w:t>Regesto Società anonima. Statuti disponenti che il consiglio d'amministrazione è rimunerato per la sua attività. Criteri per giudicare se l'importo della retribuzione è giustificato. Importanza della situazione finanziaria della società.</w:t>
      </w:r>
    </w:p>
    <w:p>
      <w:pPr>
        <w:pStyle w:val="Heading2"/>
      </w:pPr>
      <w:r>
        <w:t>Erwägungen</w:t>
      </w:r>
    </w:p>
    <w:p>
      <w:r>
        <w:rPr>
          <w:b/>
        </w:rPr>
        <w:t>E. 1</w:t>
      </w:r>
    </w:p>
    <w:p>
      <w:r>
        <w:t>Comme le Tribunal fédéral l'a jugé dans son arrêt du 26 septembre 1958, l'assemblée générale ne pouvait allouer aux administrateurs une participation au bénéfice net, puisque l'allocation de tantièmes n'est pas prévue dans les statuts. Dès lors, le montant de 70 000 fr. accordé aux membres du conseil d'administration ne peut rétribuer que leur "activité", conformément à l'art. 14 al. 3 des statuts de la société. En principe, l'assemblée générale est libre dans la fixation de la rétribution des administrateurs. Cependant, cette liberté est restreinte par le droit des actionnaires BGE 86 II 159 S. 163 au dividende. Le montant alloué au conseil d'administration ne doit pas, en effet, avoir pour conséquence de faire passer des intérêts particuliers avant les intérêts légitimes de la société et des actionnaires. Ainsi que le Tribunal fédéral l'a déjà exposé dans ses arrêts antérieurs, il faut donc que la rémunération fixée soit justifiée par l'activité des administrateurs. On doit examiner si le montant alloué est proportionné à leur travail, aux services qu'ils ont rendus à la société et à la situation de l'entreprise. Toutefois, s'agissant de rétribuer une "activité", ce dernier élément est secondaire. Il ne peut donc justifier, à lui seul, une augmentation de la rémunération des administrateurs que si la situation économique de la société s'est améliorée de façon sensible. En revanche, la juridiction cantonale exige à tort des changements de structure. S'il faut tenir compte de la situation de l'entreprise, c'est parce que, en cas de prospérité, une société augmente normalement les salaires de sa direction et de ses ouvriers et doit pouvoir le faire aussi, dans une plus large mesure, pour la rétribution de son conseil d'administration. Or, en pratique, une telle augmentation n'est pas subordonnée à l'existence de modifications dans la structure même de l'entreprise. Le juge ne peut fixer lui-même le montant qui doit revenir équitablement aux administrateurs. Il ne saurait intervenir, comme le Tribunal fédéral l'a déjà expliqué, que si la décision de l'assemblée générale ne peut se justifier par des considérations économiques raisonnables. La recourante prétend que cette question doit être examinée de façon indépendante pour chaque exercice et qu'on ne peut se borner à faire des comparaisons avec les exercices précédents. Cette thèse est trop absolue. Le Tribunal fédéral a fixé ce qu'il considérait comme une rétribution maximum pour l'exercice 1953/54 et rien n'indique que la décision qu'il a prise alors soit erronée. Elle peut donc servir de base pour les exercices suivants. En revanche, la recourante déclare avec raison que, pour juger si le montant de 70 000 fr. dépasse le maximum admissible, il faut faire la comparaison avec les résultats BGE 86 II 159 S. 164 de l'exercice 1953/54; c'est en effet pour cette période que le Tribunal fédéral a jugé que le montant de 50 000 fr. constituait un maximum et, s'il l'a maintenu pour l'année suivante malgré l'amélioration de la situation de l'entreprise, c'est parce qu'il a jugé que ce changement n'était pas assez important pour exercer une influence légitime sur la rétribution des administrateurs.</w:t>
      </w:r>
    </w:p>
    <w:p>
      <w:r>
        <w:rPr>
          <w:b/>
        </w:rPr>
        <w:t>E. 2</w:t>
      </w:r>
    </w:p>
    <w:p>
      <w:r>
        <w:t>La juridiction cantonale a constaté définitivement que, durant l'exercice en cause aujourd'hui, l'activité du conseil d'administration et les services qu'il avait rendus à la société avaient été à peu près les mêmes qu'au cours des années précédentes. L'augmentation de la rétribution des administrateurs ne peut donc être justifiée que par la prospérité plus grande de l'entreprise. Or, sur ce point, la différence est importante. Pour l'exercice 1955/56, le bénéfice d'exploitation a été de 918 666 fr., c'est-à-dire plus de deux fois supérieur à celui de l'exercice 1953/54. De ce fait, le dividende payé aux actionnaires a passé de 12 à 18%. La répartition d'un dividende aussi important n'a pas empêché, selon la Cour cantonale, la constitution de nouvelles réserves latentes, qui ont accru sensiblement la valeur interne des actions. Dans ces conditions, on doit admettre que la situation économique de la société s'est améliorée de façon sensible. Une augmentation de la rétribution des administrateurs pouvait donc se justifier. Sans doute le montant de 70 000 fr. est-il très élevé. Cependant, si l'on considère l'importance du dividende et l'accroissement de la valeur interne des actions, cette rémunération peut encore se justifier par des arguments économiques raisonnables et ne porte donc pas atteinte aux droits des actionnaires. Dès lors, l'action de Brandt a été admise à tort par la juridiction bernoise.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