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139</w:t>
      </w:r>
    </w:p>
    <w:p>
      <w:r>
        <w:t>Bundesgericht (BGE), 1960-01-01, DE</w:t>
      </w:r>
    </w:p>
    <w:p>
      <w:r>
        <w:rPr>
          <w:b/>
        </w:rPr>
        <w:t xml:space="preserve">Quelle: </w:t>
      </w:r>
      <w:r>
        <w:t>https://mcp.opencaselaw.ch/entscheid/bge_BGE_86_II_139</w:t>
      </w:r>
    </w:p>
    <w:p>
      <w:r>
        <w:t>FR: ATF 86 II 139</w:t>
      </w:r>
    </w:p>
    <w:p>
      <w:r>
        <w:t>IT: DTF 86 II 139</w:t>
      </w:r>
    </w:p>
    <w:p>
      <w:pPr>
        <w:pStyle w:val="Heading2"/>
      </w:pPr>
      <w:r>
        <w:t>Regeste</w:t>
      </w:r>
    </w:p>
    <w:p>
      <w:r>
        <w:t>Regeste 1. Zulässigkeit der Nichtigkeitsbeschwerde gemäss Art. 68 OG gegen eine im Sinne von Art. 386 ZGB getroffene Massregel (Erw. 1). 2. Reihenfolge der Beurteilung, wenn neben einer Berufung oder Nichtigkeitsbeschwerde eine staatsrechtliche Beschwerde erhoben worden ist; Art. 57 Abs. 5 und Art. 74 OG (Erw. 2). 3. Zu Massnahmen im Sinne von Art. 386 ZGB ist sowohl die zuständigerweise den Entmündigungsprozess führende Vormundschaftsbehörde (Erw. 4) wie auch diejenige des jeweiligen Wohnsitzes des Schutzbefohlenen zuständig. Vorbehalt der Frage, nach welchen Grundsätzen bei einem positiven oder negativen Kompetenzkonflikt zwischen diesen beiden Behörden zu entscheiden wäre (Erw. 3).</w:t>
      </w:r>
    </w:p>
    <w:p>
      <w:r>
        <w:t>Regeste 1. Recevabilité du recours en nullité (art. 68 OJ) contre une mesure prise en application de l'art. 386 CC. 2. Ordre dans lequel le Tribunal fédéral juge un recours de droit public et un recours en réforme ou en nullité; art. 57 al. 5 et art. 74 OJ (consid. 2). 3. Sont habiles à prendre les mesures de l'art. 386 CC l'autorité tutélaire compétente qui demande l'interdiction (consid. 4) et celle du domicile actuel de la personne à protéger. Est réservée la question de savoir selon quels principes il faut trancher un conflit de compétence, positif ou négatif, entre ces deux autorités (consid. 3).</w:t>
      </w:r>
    </w:p>
    <w:p>
      <w:r>
        <w:t>Regesto 1. Ammissibilità del ricorso per nullità (art. 68 OG) contro una misura presa in applicazione dell'art. 386 CC (consid. 1). 2. Ordine nel quale il Tribunale federale giudica un ricorso di diritto pubblico e un ricorso per riforma o per nullità; art. 57 cp. 5 e art. 74 OG (consid. 2). 3. Possono prendere le misure di cui all'art. 386 CC tanto la autorità tutoria competente che domanda l'interdizione (consid. 4) quanto quella del domicilio attuale della persona da proteggere. È riservata la questione a sapere secondo quali principi occorre decidere un conflitto di competenze, positivo o negativo, tra queste due autorità (consid. 3).</w:t>
      </w:r>
    </w:p>
    <w:p>
      <w:pPr>
        <w:pStyle w:val="Heading2"/>
      </w:pPr>
      <w:r>
        <w:t>Erwägungen</w:t>
      </w:r>
    </w:p>
    <w:p>
      <w:r>
        <w:rPr>
          <w:b/>
        </w:rPr>
        <w:t>E. 1</w:t>
      </w:r>
    </w:p>
    <w:p>
      <w:r>
        <w:t>Die in Art. 386 ZGB vorgesehenen Massregeln sind vorläufiger Natur, wie sich aus dem sie alle betreffenden Randtitel ("Vorläufige Fürsorge") und im besondern aus der Wendung "vorläufige Entziehung der Handlungsfähigkeit" BGE 86 II 139 S. 142 im zweiten Absatz ergibt. Solche Massregeln betreffende Entscheide der obern kantonalen Spruchbehörden unterliegen nicht der Berufung an das Bundesgericht (vgl. namentlich BGE 77 II 281 Erw. 3; betreffend Art. 386 ZGB ausdrücklich BGE 80 II 92 ). Dagegen können sie, freilich nicht schlechthin wegen Verletzung bundesrechtlicher Normen, wohl aber wegen eines der in Art. 68 OG vorgesehenen Gründe, mit Nichtigkeitsbeschwerde angefochten werden. Es handelt sich hier um eine Zivilsache wie etwa bei den vorsorglichen Massregeln im Scheidungsprozess; somit ist die Nichtigkeitsbeschwerde ebenfalls (vgl. BGE 72 II 323 , BGE 75 II 95 ) zulässig. Da die unrichtige Benennung des Rechtsmittels nicht schadet, lässt sich die vorliegende Berufung, die eine Zuständigkeitsfrage des Bundesrechtes aufwirft, also den Nichtigkeitsbeschwerdegrund des Art. 68 Abs. 1 lit. b OG geltend macht, als Nichtigkeitsbeschwerde an Hand nehmen (vgl. BGE 82 II 565 Erw. 6, BGE 85 I 196 ). Die formellen Erfordernisse einer Nichtigkeitsbeschwerde, die im wesentlichen mit den für die Berufung geltenden übereinstimmen ( Art. 69 und 71 OG ), sind erfüllt.</w:t>
      </w:r>
    </w:p>
    <w:p>
      <w:r>
        <w:rPr>
          <w:b/>
        </w:rPr>
        <w:t>E. 2</w:t>
      </w:r>
    </w:p>
    <w:p>
      <w:r>
        <w:t>Da die Frage der örtlichen Zuständigkeit allen andern Fragen vorgeht, besteht kein Anlass, nach der sinngemäss anwendbaren Regel von Art. 57 Abs. 5 (Art. 74) OG die angekündigte staatsrechtliche Beschwerde und deren Beurteilung abzuwarten.</w:t>
      </w:r>
    </w:p>
    <w:p>
      <w:r>
        <w:rPr>
          <w:b/>
        </w:rPr>
        <w:t>E. 3</w:t>
      </w:r>
    </w:p>
    <w:p>
      <w:r>
        <w:t>Die sachliche Zuständigkeit der Vormundschaftsbehörde wird vom Beschwerdeführer mit Recht nicht mehr in Zweifel gezogen; sie ist in Art. 386 ZGB ausdrücklich festgelegt. Umstritten ist nur mehr die örtliche Zuständigkeit: Während der Regierungsrat "die den Entmündigungsprozess führende Vormundschaftsbehörde" für unbedingt und ausschliesslich zuständig hält, ist nach Ansicht des Beschwerdeführers zu Massregeln im Sinne von Art. 386 ZGB ausschliesslich die Behörde des jeweiligen Wohnsitzes des Schutzbefohlenen befugt, also nach Verlegung des BGE 86 II 139 S. 143 Wohnsitzes während des Entmündigungsverfahrens die Behörde des neuen Wohnsitzes. Art. 386 ZGB fasst die Frage nach der örtlichen Zuständigkeit bei Wohnsitzveränderung während des Entmündigungsverfahrens nicht ins Auge. Ihre Beantwortung kann aber nicht dem kantonalen Recht anheim gegeben werden; es handelt sich vielmehr um eine Lücke des Bundesrechts. Indessen drängt sich keine der möglichen Lösungen dermassen auf, dass eine ausschliessliche Zuständigkeit der einen der in Frage kommenden Vormundschaftsbehörden anerkannt werden müsste. Man wird den zu wahrenden Interessen besser gerecht, wenn man sowohl die - zuständigerweise - den Entmündigungsprozess führende wie auch die Vormundschaftsbehörde des jeweiligen Wohnsitzes des Interdizenden als befugt erachtet, Massnahmen im Sinne von Art. 386 ZGB zu treffen. Ja, es mag mitunter auch ein Einschreiten der Vormundschaftsbehörde eines andern Ortes geboten sein, sei es eines blossen Aufenthaltsortes oder irgendeines Ortes, wo dringend etwas angeordnet werden muss (vgl. KAUFMANN, N. 16/17 und 36, EGGER, N. 43 ff. zu Art. 386 ZGB ). In den letztern Fällen liegt freilich in der Regel eine (der Rechtshilfe auf Ersuchen gleich zu achtende) Amtsbesorgung für diejenige Behörde vor, der eigentlich die Betreuung des Interdizenden obliegt, also für eine der soeben in erster Linie genannten Vormundschaftsbehörden. Von diesen ist nun zum Entzug der Handlungsfähigkeit und, als Folge davon, zur Anordnung einer Vertretung gewöhnlich die den Entmündigungsprozess führende, fortlaufend über dessen Ergebnisse unterrichtete Vormundschaftsbehörde am besten in der Lage. Diese die Wirkungen der Entmündigung vorwegnehmende, wenn auch dem endgültigen Entscheid der hiefür zuständigen Behörde nicht vorgreifende Massnahme darf erst getroffen werden, wenn sich die Vormundschaftsbehörde vom Bestehen eines Entmündigungsgrundes überzeugt hat (vgl. BGE 57 II 8 ), und darüber lässt sich in manchen BGE 86 II 139 S. 144 Fällen nur im Verlauf des Entmündigungsverfahrens genügende Klarheit gewinnen. Ist somit zwar nicht zur Ergreifung jeglicher Massnahmen im Sinne von Art. 386 ZGB überhaupt nur die den Entmündigungsprozess zuständigerweise führende, also in der Regel die Vormundschaftsbehörde des bei Einleitung dieses Prozesses bestehenden Wohnsitzes des Interdizenden zuständig (wie R. ZIPKES, Die vorläufige Fürsorge vor der Bevormundung, S. 90, annimmt), so besteht doch diese Zuständigkeit, wenn der Interdizend seinen Wohnsitz während des Entmüdigungsprozesses verändert, weiter neben derjenigen der Vormundschaftsbehörde des neuen Wohnsitzes. Es kann dahingestellt bleiben, wie die Wahl zwischen diesen beiden Behörden bei einem positiven oder negativen Kompetenzkonflikt zu treffen wäre, und ob im besondern zum vorläufigen Entzug der Handlungsfähigkeit ein für allemal der das Entmündigungsverfahren zuständigerweise führenden Vormundschaftsbehörde der Vorrang gebühren würde oder die Wahl nach den Umständen des einzelnen Falles zu treffen wäre.</w:t>
      </w:r>
    </w:p>
    <w:p>
      <w:r>
        <w:rPr>
          <w:b/>
        </w:rPr>
        <w:t>E. 4</w:t>
      </w:r>
    </w:p>
    <w:p>
      <w:r>
        <w:t>Die Beschwerde erweist sich somit als unbegründet. Zwar kann der knappen Bemerkung des Regierungsrates zur Zuständigkeitsfrage nicht ohne Vorbehalt beigestimmt werden. Sie scheint besagen zu wollen, die den Entmündigungsprozess führende Vormundschaftsbehörde sei zum vorläufigen Entzug der Handlungsfähigkeit in allen Fällen zuständig. Sie ist es aber (abgesehen von der Lösung eines allfälligen Kompetenzkonfliktes) nur, wenn sie zur Führung des Entmündigungsprozesses wirklich zuständig ist. Im vorliegenden Falle war (ähnlich wie bei vorsorglichen Massnahmen im Scheidungsprozesse nach Art. 145 ZGB , vgl. BGE 83 II 495 ) summarisch zu prüfen, ob die Zuständigkeit, an welche sich die Befugnis zu den vorsorglichen Massnahmen knüpft, gegeben sei oder wenigstens nicht sicher fehle. Indessen mag auf sich beruhen bleiben, ob der Regierungsrat, ohne sich darüber in seinem Entscheide zu äussern, die Frage des Wohnsitzes des Beschwerdeführers BGE 86 II 139 S. 145 zur Zeit der Einleitung der Entmündigungsklage in solcher Weise geprüft habe. Dass der Beschwerdeführer damals in der Tat in Trimbach Wohnsitz hatte, ergibt sich jedenfalls aus seinen eigenen Vorbringen vor Bundesgericht.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