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129</w:t>
      </w:r>
    </w:p>
    <w:p>
      <w:r>
        <w:t>Bundesgericht (BGE), 1960-01-01, DE</w:t>
      </w:r>
    </w:p>
    <w:p>
      <w:r>
        <w:rPr>
          <w:b/>
        </w:rPr>
        <w:t xml:space="preserve">Quelle: </w:t>
      </w:r>
      <w:r>
        <w:t>https://mcp.opencaselaw.ch/entscheid/bge_BGE_86_II_129</w:t>
      </w:r>
    </w:p>
    <w:p>
      <w:r>
        <w:t>FR: ATF 86 II 129</w:t>
      </w:r>
    </w:p>
    <w:p>
      <w:r>
        <w:t>IT: DTF 86 II 129</w:t>
      </w:r>
    </w:p>
    <w:p>
      <w:pPr>
        <w:pStyle w:val="Heading2"/>
      </w:pPr>
      <w:r>
        <w:t>Regeste</w:t>
      </w:r>
    </w:p>
    <w:p>
      <w:r>
        <w:t>Regeste Vaterschaftsklage. 1. Voraussetzungen der Beurteilung durch das Bundesgericht als einzige Instanz (Art. 41 lit. c OG). 2. Ausschluss der Vaterschaft des Beklagten auf Grund der Bestimmung des Blutfaktors Kell (Art. 314 Abs. 2 ZGB).</w:t>
      </w:r>
    </w:p>
    <w:p>
      <w:r>
        <w:t>Regeste Action en paternité. 1. Compétence du Tribunal fédéral comme autorité de première instance (art. 41 lit. c OJ). 2. Exclusion de la paternité du défendeur sur la base d'une analyse du facteur sanguin Kell (art. 314 al. 2 CC).</w:t>
      </w:r>
    </w:p>
    <w:p>
      <w:r>
        <w:t>Regesto Azione di paternità. 1. Presupposti per la competenza del Tribunale federale quale istanza unica (art. 41 lett. c OG). 2. Esclusione della paternità del convenuto sulla base di una analisi del fattore sanguigno Kell (art. 314 cp. 2 CC).</w:t>
      </w:r>
    </w:p>
    <w:p>
      <w:pPr>
        <w:pStyle w:val="Heading2"/>
      </w:pPr>
      <w:r>
        <w:t>Erwägungen</w:t>
      </w:r>
    </w:p>
    <w:p>
      <w:r>
        <w:rPr>
          <w:b/>
        </w:rPr>
        <w:t>E. 1</w:t>
      </w:r>
    </w:p>
    <w:p>
      <w:r>
        <w:t>Nach Art. 41 lit. c OG beurteilt das Bundesgericht als einzige Instanz "andere" zivilrechtliche Streitigkeiten (d.h. andere als die in Art. 41 lit. a und b genannten, zu denen der vorliegende Rechtsstreit nicht gehört), wenn es von beiden Parteien an Stelle der kantonalen Gerichte angerufen wird und der Streitwert wenigstens Fr. 10'000.-- beträgt. (Die neue Fassung dieser Bestimmung gemäss Bundesgesetz vom 19. Juni 1959 betr. Änderung des OG und des BStP, wonach der Streitwert wenigstens Fr. 20'000.-- betragen muss, gilt gemäss Ziff. IV Abs. 3 des erwähnten Bundesgesetzes für die vorliegende, vor dem Inkrafttreten dieses Gesetzes beim Bundesgericht abhängig gemachte Klage noch nicht.) Es steht ausser Zweifel, dass man es hier mit einer zivilrechtlichen Streitigkeit zu tun hat, und zwar handelt es sich, da die Klägerinnen nicht die Zusprechung des Kindes mit Standesfolge, sondern nur Vermögensleistungen im Sinne von Art. 317 ff. ZGB verlangen, um eine Streitigkeit vermögensrechtlicher Natur (vgl. BGE 75 II 334 mit Hinweisen, BGE 79 II 258 ), wie sie nach der Rechtsprechung für die direkte Anrufung des Bundesgerichts auf Grund einer Progrogation erforderlich ist, weil das Gesetz diese Möglichkeit vom Vorliegen eines bestimmten Streitwerts abhängig macht ( BGE 23 II 921 ; BURCKHARDT, Kommentar der BV, 3. Aufl., S. 764 Mitte; BIRCHMEIER, Handbuch des OG, N. 14 zu Art. 41). Der Streitwert, der sich aus dem Betrag der von der Mutter geforderten Entschädigung BGE 86 II 129 S. 133 (Fr. 900.--) und dem Kapitalwert der Unterhaltsbeiträge für das Kind zusammensetzt, übersteigt Fr. 10'000.--.... Ferner steht fest, dass die Parteien das Bundesgericht an Stelle der kantonalen Gerichte angerufen haben; hätten sie nicht direkt das Bundesgericht angerufen, so wären für die Beurteilung der vorliegenden Vaterschaftsklage gemäss Art. 312 ZGB die st. gallischen oder schaffhausischen Gerichte zuständig gewesen. Ungeachtet der etwas missverständlichen Fassung von Ziff. 3 und 4 der Prorogationsvereinbarung vom 10. Dezember 1959 ist endlich auch klar, dass die Parteien vom Bundesgericht nicht bloss die Feststellung erwarten, ob der Beklagte auf Grund des Gutachtens vom 19. Oktober 1959 als Vater des Kindes Rita ausgeschlossen werden könne oder nicht, sondern dass das Bundesgericht nach ihrer Meinung je nachdem ein die Vaterschaftsklage abweisendes oder sie gutheissendes Urteil zu fällen hat. Das Bundesgericht ist daher zuständig, die vorliegende Klage als einzige Instanz zu beurteilen.</w:t>
      </w:r>
    </w:p>
    <w:p>
      <w:r>
        <w:rPr>
          <w:b/>
        </w:rPr>
        <w:t>E. 2</w:t>
      </w:r>
    </w:p>
    <w:p>
      <w:r>
        <w:t>Das Ergebnis einer naturwissenschaftlichen Untersuchung ist nach der Rechtsprechung des Bundesgerichts dann und nur dann geeignet, erhebliche Zweifel über die Vaterschaft des Beklagten im Sinne von Art. 314 Abs. 2 ZGB zu begründen oder die durch die Beiwohnung eines Dritten begründeten Zweifel zu beseitigen, wenn es die Vaterschaft des Beklagten bzw. des Dritten mit Sicherheit oder doch mit grösster, an Sicherheit grenzender Wahrscheinlichkeit ausschliesst ( BGE 80 II 13 , BGE 82 II 264 , BGE 83 II 104 , BGE 84 II 675 ). Ob ein Vaterschaftsausschluss diesen Grad der Wahrscheinlichkeit für sich habe, ist eine naturwissenschaftliche Frage, die der Sachverständige zu beantworten hat. Der Tatsachenrichter hat dessen Gutachten freilich auf seine Schlüssigkeit zu prüfen, soweit er dazu in der Lage ist. Dagegen kann es nicht Sache des Richters (auch nicht des Bundesgerichtes) sein, "den Begriff der 'an Sicherheit grenzenden Wahrscheinlichkeit' statistisch eindeutig zu definieren", wie Dr. Hässig dies auf S. 10 BGE 86 II 129 S. 134 seines Gutachtens vom 19. Oktober 1959 in Übereinstimmung mit WUILLERET (Über die Verwertbarkeit der Blutgruppenantigene A1, A2, K, Fya und P bei der Klärung von strittigen Abstammungsfragen, S. 25) als wünschbar bezeichnet. Hiezu wären eingehende biologisch-medizinische und statistisch-mathematische Kenntnisse erforderlich, über die das Gericht nicht verfügt. In Deutschland sind denn auch Richtlinien für die Bewertung des Sicherheitsgrades von Vaterschaftsausschlüssen, die sich auf eine Blutuntersuchung stützen, nicht von den Gerichten, sondern vom Robert-Koch-Institut in Berlin aufgestellt worden (DAHR in BEITZKE, HOSEMANN, DAHR, SCHADE, Vaterschaftsgutachten für die gerichtliche Praxis, 1956, S. 77).</w:t>
      </w:r>
    </w:p>
    <w:p>
      <w:r>
        <w:rPr>
          <w:b/>
        </w:rPr>
        <w:t>E. 3</w:t>
      </w:r>
    </w:p>
    <w:p>
      <w:r>
        <w:t>Das vorliegende Gutachten Dr. Hässigs ist nicht von einem Gericht eingeholt worden. Es darf jedoch unbedenklich einem gerichtlichen Gutachten gleichgestellt werden, da die Parteien Dr. Hässig gemeinsam mit seiner Ausarbeitung beauftragt haben und kein Zweifel daran bestehen kann, dass Dr. Hässig, der sehr oft als gerichtlicher Sachverständiger zu amten hat, es nach bestem Wissen und Gewissen und im Geiste strengster Unparteilichkeit (vgl. Art. 59 BZP ) abgegeben hat. Ein weiteres Gutachten einzuholen, wie die Klägerinnen dies in Klageschrift beantragt haben, wäre unter diesen Umständen nur dann geboten, wenn an der Autorität Dr. Hässigs zu zweifeln wäre. Hiefür besteht jedoch kein Grund. Dr. Hässig ist (was festzustellen das Bundesgericht schon früher Gelegenheit hatte, vgl. BGE 83 II 103 , BGE 84 II 673 ) auf diesem Gebiet ein anerkannter Fachmann, der über umfassende Kenntnisse und eine reiche Erfahrung verfügt. Er erscheint daher als befähigt, sowohl die grundsätzliche Frage, welcher Beweiswert einem Vaterschaftsausschluss auf Grund der Bestimmung des Blutfaktors Kell im allgemeinen zukommt, in zuverlässiger Weise zu beantworten, als auch im Einzelfalle die nötigen Untersuchungen mit der erforderlichen Sorgfalt durchzuführen und ihr Ergebnis zutreffend zu würdigen. Dass im vorliegenden BGE 86 II 129 S. 135 Falle bei der Bestimmung des Faktors Kell alle zur Vermeidung eines Fehlresultats notwendigen Vorsichtsmassnahmen angewendet worden sind, wird im übrigen von den Klägerinnen nicht bestritten. Sie verweisen zwar darauf, dass die Bestimmungstechnik sehr schwierig und die Gefahr unsachgemässer Entnahme oder Behandlung des Blutes sehr gross sei, behaupten aber nicht, dass Dr. Hässig den erwähnten Schwierigkeiten nicht gewachsen sei oder dass im vorliegenden Falle mit einem unsachgemässen Vorgehen bei der Durchführung der Untersuchung gerechnet werden müsse. Im Gegenteil anerkennen sie vorbehaltlos, dass der Beklagte (die Brauchbarkeit der angewendeten Ausschlussmethode vorausgesetzt) auf Grund der von Dr. Hässig vorgenommenen Bestimmung des Faktors Kell als Vater des Kindes Rita auszuschliessen sei (Vereinbarung vom 10. Dezember 1959, Ziff. 2; Klageschrift S. 5 Ziff. 4: "Die Parteien haben die Resultate der erwähnten Gutachten anerkannt"), und machen in Wirrklichkeit nur geltend, ein solcher Ausschluss genüge für sich allein grundsätzlich nicht, um erhebliche Zweifel im Sinne von Art. 314 Abs. 2 ZGB zu begründen, weil dadurch die Vaterschaft eines Mannes, welcher der Mutter in der kritischen Zeit beigewohnt hat, nicht mit an Sicherheit grenzender Wahrscheinlichkeit ausgeschlossen werden könne. Nach alledem besteht kein Anlass, einen weitern Sachverständigen beizuziehen. Die Klägerinnen scheinen dies schliesslich selber eingesehen zu haben; denn sie haben von der ihnen bei Abschluss des Vorbereitungsverfahrens bekanntgegebenen Möglichkeit, Beweisergänzungsanträge zu stellen, wie schon gesagt keinen Gebrauch gemacht.</w:t>
      </w:r>
    </w:p>
    <w:p>
      <w:r>
        <w:rPr>
          <w:b/>
        </w:rPr>
        <w:t>E. 4</w:t>
      </w:r>
    </w:p>
    <w:p>
      <w:r>
        <w:t>Dr. Hässig führt in seinem Gutachten aus, in den letzten Jahren sei der dominante Erbgang des Blutfaktors Kell (K) durch zahlreiche Familienuntersuchungen sichergestellt worden. Man verfüge heute über 1585 publizierte Fälle, durch welche dieser Erbgang bestätigt werde. Es sei damit zu rechnen, dass noch weitaus mehr Familien, als aus den erfolgten Veröffentlichungen hervorgehe, BGE 86 II 129 S. 136 untersucht worden seien. Hätte man dabei einen gegen die Erbregeln verstossenden Fall gefunden, so wäre er sicher veröffentlicht worden. Der dominante Erbgang des Faktors Kell sei also "eindeutig sichergestellt". Die Häufigkeit serologischer Bestimmungsfehler liege bei Beobachtung aller Kautelen (einwandfreie Identifizierung der Parteien, gleichzeitige Durchführung der Untersuchung bei allen Beteiligten mit den gleichen Testseren, Verwendung einwandfreier Seren, sichere Beherrschung der für den indirekten Nachweis des Faktors Kell erforderlichen Antiglobulintechnik, Kontrolle durch einen zweiten, mit Testseren anderer Herkunft arbeitenden Experten) wesentlich unter 1: 1000. Der heutige Stand der erbbiologischen und serologischen Kenntnisse über das Kell-System, insbesondere den Faktor K, entspreche dem Stand des Wissens über das Rhesus-System in den Jahren 1953/54, in welchen das Bundesgericht die forensische Verwendbarkeit der Rhesusfaktoren voll anerkannt habe ( BGE 79 II 17 , BGE 80 II 10 ). Daher dürfe heute ein K - Vaterschaftsausschluss unter der Voraussetzung einer lege artis durchgeführten Untersuchung einem Rhesus-Ausschluss als gleichwertig zur Seite gestellt werden. Da einem solchen das Prädikat der "an Sicherheit grenzenden Wahrscheinlichkeit" erteilt werde, erscheine es als gegeben, dieses Prädikat auch einem K-Ausschluss zu verleihen. Erfahrene ausländische Experten seien der gleichen Ansicht. So vertrete z.B. Dr. Pettenkofer, der zuständige Sachbearbeiter am Robert-Koch-Institut in Berlin, nach einer persönlichen Mitteilung vom 18. September 1959 die Auffassung, dass die Erzeugerschaft eines Mannes auf Grund eines K-Ausschlusses nach Bestätigung der Befunde durch einen besonders erfahrenen Zweitbegutachter mit an Sicherheit grenzender Wahrscheinlichkeit auszuschliessen sei. Diese Ausführungen tun überzeugend dar, dass ein K-Ausschluss, der auf einer kunstgerecht durchgeführten Untersuchung beruht und durch einen qualifizierten Zweitbegutachter bestätigt wird, heute den Sicherheitsgrad BGE 86 II 129 S. 137 aufweist, der nach der Rechtsprechung des Bundesgerichts erforderlich ist, um im Vaterschaftsprozess den Beklagten oder einen Dritten als Vater auszuschliessen.</w:t>
      </w:r>
    </w:p>
    <w:p>
      <w:r>
        <w:rPr>
          <w:b/>
        </w:rPr>
        <w:t>E. 5</w:t>
      </w:r>
    </w:p>
    <w:p>
      <w:r>
        <w:t>Was die Klägerinnen hiegegen einwenden, ist nicht stichhaltig. a) Es ist mindestens ungenau, wenn sie behaupten, WUILLERET vertrete in der bereits erwähnten Arbeit (S.11) den Standpunkt, dass bei der Erforschung des Faktors K die Bestimmungsergebnisse heute immer noch verfälscht werden können. In Wirklichkeit sagt Wuilleret an der angegebenen Stelle, Verfälschungen der Bestimmungsergebnisse infolge des Auftretens von schwachen oder stummen Allelen (z.B. Ko) oder von sog. Depressorgenen seien als "extrem selten" zu betrachten. Dr. Hässig stimmt dieser Auffassung im vorliegenden Gutachten bei. Sind solche Vorkommnisse extrem selten, so bilden sie kein Hindernis dafür, einem K-Ausschluss den Beweiswert der an Sicherheit grenzenden Wahrscheinlichkeit beizumessen. b) Wenn Dr. Hässig und weitere Fachleute, wie im vorliegenden Gutachten erwähnt, einem K-Ausschluss in den Jahren 1954 und 1956 nur das Prädikat einer "erheblichen" bezw. "sehr erheblichen" Wahrscheinlichkeit zuerkannten (BARANDUN, BÜHLER, HÄSSIG, ROSIN, Moderne Probleme der Pädiatrie I S. 654; WUILLERET, ROSIN, HÄSSIG, Schweiz. med. Wochenschrift 86 S. 1455; vgl. auch BERGER, Basler jur. Mitteilungen 1957 S. 321 f.), so vermag dies die von Dr. Hässig heute vertretene Auffassung, dass für dìe Richtigkeit eines K-Ausschlusses bei kunstgerecht durchgeführter Untersuchung nunmehr eine an Sicherheit grenzende Wahrscheinlichkeit bestehe, entgegen der Ansicht der Klägerinnen nicht zu widerlegen. Dass der Experte den Beweiswert eines solchen Ausschlusses heute höher einschätzt als 1954/56, erklärt sich aus den Fortschritten, welche die Forschung in der Zwischenzeit gemacht hat. c) Den Begriff der an Sicherheit grenzenden Wahrscheinlichkeit statistisch genau zu definieren (was nach der BGE 86 II 129 S. 138 Meinung der Klägerinnen im Sinne des Verschärfung der Anforderungen geschehen sollte), kann, wie schon ausgeführt (Erw. 2 hievor), nicht Sache des Bundesgerichtes sein. d) Wenn in dem von den Klägerinnen angezogenen Falle BGE 83 II 102 ff. einem Duffya-Ausschluss die Anerkennung versagt blieb, obwohl WUILLERET, ROSIN UND HÄSSIG in der unter b hievor erwähnten Arbeit angenommen hatten, die Häufigkeit von Fehlbestimmungen dieser Bluteigenschaft liege bei Verwendung einwandfreier Seren und bei sicherer Beherrschung der Untersuchungstechnik "wesentlich unter 1: 1000", so geschah dies vor allem deswegen, weil die Gesetzmässigkeit der Vererbung dieser Bluteigenschaft noch nicht mit genügender Sicherheit feststand (S. 107). Demgegenüber darf heute der dominante Erbgang des Faktors Kell nach dem vorliegenden Gutachten als gesichert angesehen werden. Aus dem erwähnten Entscheide lässt sich daher nichts gegen die forensische Verwendbarkeit eines K-Ausschlusses ableiten. e) Der Gefahr von Fehlbestimmungen im Einzelfall, auf welche die Klägerinnen schliesslich noch hinweisen, kann nach den Feststellungen des Experten durch die von ihm genannten Vorsichtsmassnahmen (Erw. 4 hievor) mit dem Erfolg begegnet werden, dass Fehlbestimmungen nicht häufiger als allerhöchstens in einem unter 1000 Fällen vorkommen. Demnach muss es bei der Schlussfolgerung des Experten bleiben, wonach ein K-Ausschluss unter der Voraussetzung einer kunstgerecht durchgeführten Untersuchung heute das Prädikat der an Sicherheit grenzenden Wahrscheinlichkeit verdient. Dass Dr. Hässig und der Zweitbegutachter P.D. Dr. Holländer die Untersuchung im vorliegenden Fall unter Beobachtung aller erforderlichen Vorsichtsmassnahmen durchgeführt haben, ist unbestritten (vgl. Erw. 3 hiervor) und steht angesichts der Persönlichkeit der Gutachter ausser Frage. Das Ergebnis der Expertise rechtfertigt folglich erhebliche Zweifel über die Vaterschaft des BGE 86 II 129 S. 139 Beklagten im Sinne von Art. 314 Abs. 2 ZGB , so dass die Klage abzuweisen ist. Diese Entscheidung steht im Einklang mit der neuesten Rechtsprechung des österreichischen Obersten Gerichtshofs, der in Entscheidungen vom 1. und 8. Juli 1959 unter ausführlichem Hinweis auf das medizinische Schrifttum festgestellt hat, der dem Vaterschaftsbeklagten nach österreichischem Recht offenstehende Nachweis, dass er das Kind ungeachtet der bewiesenen oder eingestandenen Beiwohnung nicht gezeugt habe (vgl. KLANG/GSCHNITZER, Kommentar zum ABGB, Lieferung 83, Wien 1958, Bem. III 3 b zu § 163, S. 152 ff.), könne durch ein Blutgruppengutachten erbracht werden, das die Vaterschaft des Beklagten auf Grund des Kell-Faktors ausschliesst (ELSIGAN, Der naturwissenschaftliche Vaterschaftsbeweis in der Rechtsprechung der Zivil- und Strafgerichte, Juristische Blätter 82, 1960, S. 241).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