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w:t>
      </w:r>
    </w:p>
    <w:p>
      <w:r>
        <w:t>Bundesgericht (BGE), 1960-01-01, DE</w:t>
      </w:r>
    </w:p>
    <w:p>
      <w:r>
        <w:rPr>
          <w:b/>
        </w:rPr>
        <w:t xml:space="preserve">Quelle: </w:t>
      </w:r>
      <w:r>
        <w:t>https://mcp.opencaselaw.ch/entscheid/bge_BGE_86_II_1</w:t>
      </w:r>
    </w:p>
    <w:p>
      <w:r>
        <w:t>FR: ATF 86 II 1</w:t>
      </w:r>
    </w:p>
    <w:p>
      <w:r>
        <w:t>IT: DTF 86 II 1</w:t>
      </w:r>
    </w:p>
    <w:p>
      <w:pPr>
        <w:pStyle w:val="Heading2"/>
      </w:pPr>
      <w:r>
        <w:t>Regeste</w:t>
      </w:r>
    </w:p>
    <w:p>
      <w:r>
        <w:t>Regeste Zustellungsdomizil: Beim Wegzug ins Ausland ist eine Partei grundsätzlich verpflichtet, im Hinblick auf ein Verfahren vor Bundesgericht ein schweizerisches Zustellungsdomizil zu verzeigen. Art. 29 Abs. 4 OG (Erw. 2). Entmündigungsverfahren: Eine in erster Instanz aus zutreffenden Gründen gemäss Art. 370 ZGB ausgesprochene Entmündigung ist in oberer kantonaler Instanz ohne Einräumung einer Bewährungsfrist an den Appellanten zu bestätigen. Vorbehalten bleibt die spätere Aufhebung der Vormundschaft nach Art. 437 ZGB (Erw. 3).</w:t>
      </w:r>
    </w:p>
    <w:p>
      <w:r>
        <w:t>Regeste Notification: Lorsqu'une partie se rend à l'étranger, elle est tenue en principe, pour ce qui concerne un procès pendant devant le Tribunal fédéral, d'élire un domicile en Suisse où les notifications puissent lui être adressées. Art. 29 al. 4 OJ (consid. 2). Procédure d'interdiction: Si la première instance cantonale prononce l'interdiction, pour des motifs pertinents, en vertu de l'art. 370 CC, l'instance supérieure doit la confirmer sans impartir un délai d'épreuve à l'appelant. Est réservée la mainlevée ultérieure de la tutelle conformément à l'art. 437 CC (consid. 3).</w:t>
      </w:r>
    </w:p>
    <w:p>
      <w:r>
        <w:t>Regesto Notificazione. Qualora si rechi all'estero, la parte in un processo pendente davanti al Tribunale federale è tenuta di massima ad eleggere un domicilio in Svizzera, ove possono esserle fatte le notificazioni. Art. 29 cp. 4 OG (consid. 2). Procedura d'interdizione. Se la prima istanza cantonale pronuncia l'interdizione, per motivi validi, in virtù dell'art. 370 CC, l'istanza superiore deve confermarla senza impartire all'appellante un periodo di prova. È riservata la revoca ulteriore della tutela conformemente all'art. 437 CC (consid. 3).</w:t>
      </w:r>
    </w:p>
    <w:p>
      <w:pPr>
        <w:pStyle w:val="Heading2"/>
      </w:pPr>
      <w:r>
        <w:t>Erwägungen</w:t>
      </w:r>
    </w:p>
    <w:p>
      <w:r>
        <w:rPr>
          <w:b/>
        </w:rPr>
        <w:t>E. 1</w:t>
      </w:r>
    </w:p>
    <w:p>
      <w:r>
        <w:t>(Parteistellung der Vormundschaftsbehörde.)</w:t>
      </w:r>
    </w:p>
    <w:p>
      <w:r>
        <w:rPr>
          <w:b/>
        </w:rPr>
        <w:t>E. 2</w:t>
      </w:r>
    </w:p>
    <w:p>
      <w:r>
        <w:t>Die Zustellung der Berufung an den Gesuchsgegner zur Beantwortung hat sich als unwirksam erwiesen, da die den Empfang bescheinigende Frau Baumann, seine Schwiegermutter, nach den postalischen Vorschriften (Art. 105 Abs. 2 lit. b der VV I vom 23. Dezember 1955 zum Postverkehrsgesetz) zum Empfang nicht berechtigt war. Weitere Zustellungsmassnahmen waren indessen nicht geboten, da der Gesuchsgegner es unterlassen hatte, vor oder sogleich nach seiner Abreise ins Ausland im Hinblick auf ein Berufungsverfahren entweder eine Adresse im Ausland, wo Zustellungen an ihn bewirkt werden konnten, anzugeben oder aber (im Sinne von Art. 29 Abs. 4 OG ) einen Zustellungsbevollmächtigten in der Schweiz zu bezeichnen. Infolgedessen erfuhren die Gerichte des Entmündigungsverfahrens (Obergericht und Bundesgericht) erst Mitte Januar 1960 infolge polizeilicher Erhebungen die Adresse des Fremdenlegionärs gewissermassen zufällig. Wer sich während eines hängigen Verfahrens für längere Zeit von dem den Behörden bekannten Adressort BGE 86 II 1 S. 5 entfernt, ohne für Nachsendung der an die bisherige Adresse gelangenden Verfügungen zu sorgen und ohne der Behörde zu melden, wo er nunmehr zu erreichen ist, hat eine am bisherigen Ort versuchte Zustellung als erfolgt gelten zu lassen, auch wenn sie nicht in gehöriger Weise geschehen konnte ( BGE 82 II 167 und BGE 82 III 15 Erw. 2). Beim Wegzug ins Ausland ist eine Partei ausserdem mit Rücksicht auf ein allfällig hängiges oder zu gewärtigendes bundesgerichtliches Verfahren (gemäss Art. 29 Abs. 4 OG ) grundsätzlich zur Verzeigung eines Zustellungsdomizils in der Schweiz verpflichtet. Auch wenn man davon ausgeht, bei einem aktenkundigen Wohnort in einem Lande, wohin amtliche Mitteilungen aus der Schweiz verhältnismässig rasch durch Vermittlung der dortigen Behörden (sei es auf diplomatischem Weg oder auf andere zwischen den Staaten vereinbarte Weise) erfolgen können, brauche ein schweizerisches Zustellungsdomizil nur auf behördliche Aufforderung verzeigt zu werden, ist dem Gesuchsgegner eine Vereitelung der Zustellung vorzuhalten, da er eben schon die Meldung eines ausländischen Wohn- oder sonstigen Adressortes an die mit dem Entmündigungsfall befassten Gerichte unterliess. Sollte er hiezu nicht bald nach seiner Abreise in der Lage gewesen sein, so war es selbstverständliche Pflicht, von sich aus einen Zustellungsbevollmächtigten in der Schweiz bekanntzugeben, um die ungestörte Durchführung eines Berufungsverfahrens zu ermöglichen. Für eine auf längere Zeit ohne bestimmten Ort, wo sie erreicht werden kann, ins Ausland verzogene Partei ergibt sich aus Art. 29 Abs. 4 OG ein von selbst beachtendes Gebot. Wird es missachtet, so können nach der gesetzlichen Vorschrift Zustellungen unterbleiben oder auf dem Ediktalweg erfolgen. Im vorliegenden Fall erübrigten sich jegliche Weiterungen, zumal die Berufung aus Gründen zu schützen ist, denen der Gesuchsgegner zweifellos nichts Triftiges hätte entgegenhalten können.</w:t>
      </w:r>
    </w:p>
    <w:p>
      <w:r>
        <w:rPr>
          <w:b/>
        </w:rPr>
        <w:t>E. 3</w:t>
      </w:r>
    </w:p>
    <w:p>
      <w:r>
        <w:t>Auf die neue und daher für das Bundesgericht BGE 86 II 1 S. 6 unbeachtliche Tatsache ( Art. 55 Abs. 1 lit. c OG ), dass er seit dem angefochtenen Urteil die Schweiz verlassen und seine Familie der Not preisgegeben hat, kann es zwar nicht ankommen... Und wie auch immer das Verhalten des Gesuchsgegners während der ihm in kantonalen Rekursverfahren eingeräumten Bewährungsfrist von acht bis neun Monaten zu beurteilen sein möchte, erscheint das obergerichtliche Urteil eben deshalb als gesetzwidrig, weil es sich auf den Erfolg einer solchen nachträglichen Bewährungsprobe stützt. Nachdem sich der Entmündigungsentscheid des Regierungsrates, wie das Obergericht selbst gefunden hat, als vollauf gerechtfertigt, die Entmündigung nach Art. 370 ZGB also auf Grund der festgestellten Tatsachen als notwendig erwies und der Gesuchsgegner in seinem Rekurs an das Obergericht denn auch keine tauglichen Gegengründe vorgebracht hatte, war das Rekursverfahren ungesäumt durchzuführen und der Entmündigungsentscheid als zutreffend zu bestätigen. Es widerspricht dem Sinn und Zweck der gesetzlichen Ordnung ( Art. 368 ff. ZGB ), eine von der zuständigen Behörde in ordnungsgemässem Verfahren (das hier umsichtig durchgeführt und nicht zu rasch abgeschlossen wurde) zutreffenderweise ausgesprochene Entmündigung durch Einschaltung einer Bewährungsfrist in das Rekursverfahren hintanzuhalten. Die gerechtfertigte Entmündigung soll ihre Wirkungen entfalten können, und ein trotz seinen Schwächen auf Wahrung seiner Ehre bedachter Gesuchsgegner ist auf die Möglichkeit hinzuweisen, bei nachhaltiger Besserung dereinst gemäss Art. 437 ZGB die Entlassung aus der Vormundschaft zu beantragen. Beruht somit der angefochtene Entscheid auf einer dem kantonalen Rekursverfahren aufgepfropften ungesetzlichen Massnahme, so ist er ohne weiteres aufzuheben. In sachlicher Beziehung muss es beim Entscheid des Regierungsrates bleiben, der sich auf zutreffende - und denn auch vom Obergericht an sich durchaus gebilligte - Gründe stützt. Die vom Gesuchsgegner erbetene "Chance" BGE 86 II 1 S. 7 kann bei der Notwendigkeit der Bevormundung, wie dargetan, nur in der Möglichkeit einer spätern Aufhebung der Vormundschaft bestehen. Die ihm vom Obergericht erzeigte Rücksicht war übrigens der Natur der Sache nach nicht geeignet, eine genügend sichere Änderung der Verhältnisse herbeizuführen. Sie konnte keinesfalls im Sinne von Art. 437 ZGB Gewähr für den Wegfall des Entmündigungsgrundes bieten. Nicht nur erreichte die dafür bemessene Frist nicht die in jener Bestimmung vorgeschriebene Mindestdauer, sondern es war von vornherein zu befürchten, eine allfällige Besserung des Verhaltens wäre wesentlich dem Druck des schwebenden Verfahrens zuzuschreiben und nicht als Zeichen nachhaltiger Ertüchtigung des Menschen zu werten.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