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77</w:t>
      </w:r>
    </w:p>
    <w:p>
      <w:r>
        <w:t>Bundesgericht (BGE), 1960-01-01, FR</w:t>
      </w:r>
    </w:p>
    <w:p>
      <w:r>
        <w:rPr>
          <w:b/>
        </w:rPr>
        <w:t xml:space="preserve">Quelle: </w:t>
      </w:r>
      <w:r>
        <w:t>https://mcp.opencaselaw.ch/entscheid/bge_BGE_86_III_77</w:t>
      </w:r>
    </w:p>
    <w:p>
      <w:r>
        <w:t>FR: ATF 86 III 77</w:t>
      </w:r>
    </w:p>
    <w:p>
      <w:r>
        <w:t>IT: DTF 86 III 77</w:t>
      </w:r>
    </w:p>
    <w:p>
      <w:pPr>
        <w:pStyle w:val="Heading2"/>
      </w:pPr>
      <w:r>
        <w:t>Regeste</w:t>
      </w:r>
    </w:p>
    <w:p>
      <w:r>
        <w:t>Regeste Art. 149 Abs. 4, 265 Abs. 2 und 314 SchKG. 1. Der Gemeinschuldner kann eine vor Eröffnung des Konkurses entstandene Schuld neuern (durch eine neue ersetzen), indem er einen neuen Schuldschein ausstellt. 2. Der Verlustschein bewirkt keine Neuerung.</w:t>
      </w:r>
    </w:p>
    <w:p>
      <w:r>
        <w:t>Regeste Art. 149 al. 4, 265 al. 2 et 314 LP. 1. Le failli peut nover une dette antérieure à la déclaration de faillite en signant une nouvelle reconnaissance de dette. 2. L'acte de défaut de biens n'emporte pas novation.</w:t>
      </w:r>
    </w:p>
    <w:p>
      <w:r>
        <w:t>Regesto Art. 149 cp. 4, 265 cp. 2 e 314 LEF. 1. Il fallito può novare un debito anteriore alla dichiarazione di fallimento firmando un nuovo riconoscimento di debito. 2. L'attestato di carenza di beni non comporta novazione.</w:t>
      </w:r>
    </w:p>
    <w:p>
      <w:pPr>
        <w:pStyle w:val="Heading2"/>
      </w:pPr>
      <w:r>
        <w:t>Erwägungen</w:t>
      </w:r>
    </w:p>
    <w:p>
      <w:r>
        <w:rPr>
          <w:b/>
        </w:rPr>
        <w:t>E. 1</w:t>
      </w:r>
    </w:p>
    <w:p>
      <w:r>
        <w:t>Dans son recours en réforme, Simonet prétend que les reconnaissances de dettes du 30 avril 1955 sont illicites et nulles (art. 20 al. 1 CO); elles violeraient trois règles de la faillite. a) Il existerait, d'abord, un "principe d'égalité entre les créanciers" qui interdirait au créancier de se faire promettre des avantages particuliers pour la période postérieure à la clôture de la faillite; ce principe a été formulé en matière de concordat (art. 314 LP). L'argument est erroné. L'art. 314 LP empêche le débiteur d'obtenir l'adhésion au concordat par des promesses fallacieuses. Semblable besoin de réglementation n'existe pas dans le droit de la faillite. Aussi bien la loi ne prévoit-elle aucune restriction à la capacité et à la liberté de contracter de nouvelles dettes; celles-ci, simplement, ne pourront être liquidées dans la faillite. b) Certes, l'art. 149 al. 4 LP défend au créancier de réclamer des intérêts pour la créance constatée par acte de défaut de biens. Cette disposition n'est toutefois pas violée en l'espèce. Les reconnaissances litigieuses ont créé de nouvelles créances susceptibles de porter intérêt; l'art. 149 LP, ayant trait aux actes de défauts de biens, ne leur est pas applicable. c) C'est à tort également que le recourant se fonde sur l'art. 265 al. 2 LP. Le moyen tiré du défaut de retour à meilleure fortune n'est pas opposable lorsque le débiteur a établi après la déclaration de faillite une nouvelle reconnaissance de dette emportant novation (cf. SJZ 41 p. 27; JAEGER, ad art. 265 LP, note 9 et l'arrêt saintgallois cité; HERMANN, Die weitere Schuldexekution nach ungenügender Zwangsvollstreckung, p. 42; BLUMENSTEIN, Handbuch des schweizerischen Schuldbetreibungsrechts, 1911, p. 816). Le débiteur peut d'ailleurs renoncer à faire valoir l'exception (JAEGER, ad art. 265 LP, note 8; LEEMANN, Der schweizerische Verlustschein, BGE 86 III 77 S. 80 p. 110). On ne saurait en tout cas restreindre la liberté de contracter que si les parties visaient un but illicite; est ainsi réservé le cas où le créancier reconcerait moyennant reconnaissance de sa dette, à dénoncer le failli pour une infraction commise dans la faillite. Il n'y a pas d'indice en l'espèce, que les parties aient eu en vue un résultat répréhensible.</w:t>
      </w:r>
    </w:p>
    <w:p>
      <w:r>
        <w:rPr>
          <w:b/>
        </w:rPr>
        <w:t>E. 2</w:t>
      </w:r>
    </w:p>
    <w:p>
      <w:r>
        <w:t>A titre éventuel le recourant soutient que les actes de défaut de biens délivrés le 5 octobre 1955 ont nové les créances nées des reconnaissances de dettes du 30 avril précédent. Ce moyen est aussi vain que le premier. L'acte de défaut de biens, en effet, n'emporte pas novation (RO 81 III 23); il constate simplement que la dette née avant la faillite n'a pas été recouvrée par le moyen de l'exécution forcée; il ne la modifie pas, sous réserve des règles spéciales du droit de la poursuite. L'action du recourant est donc à tous égards mal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