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53</w:t>
      </w:r>
    </w:p>
    <w:p>
      <w:r>
        <w:t>Bundesgericht (BGE), 1960-01-01, DE</w:t>
      </w:r>
    </w:p>
    <w:p>
      <w:r>
        <w:rPr>
          <w:b/>
        </w:rPr>
        <w:t xml:space="preserve">Quelle: </w:t>
      </w:r>
      <w:r>
        <w:t>https://mcp.opencaselaw.ch/entscheid/bge_BGE_86_III_53</w:t>
      </w:r>
    </w:p>
    <w:p>
      <w:r>
        <w:t>FR: ATF 86 III 53</w:t>
      </w:r>
    </w:p>
    <w:p>
      <w:r>
        <w:t>IT: DTF 86 III 53</w:t>
      </w:r>
    </w:p>
    <w:p>
      <w:pPr>
        <w:pStyle w:val="Heading2"/>
      </w:pPr>
      <w:r>
        <w:t>Regeste</w:t>
      </w:r>
    </w:p>
    <w:p>
      <w:r>
        <w:t>Regeste Pfändung des Rein-Einkommens aus selbständiger Berufstätigkeit (entsprechende Anwendung des Art. 93 SchKG). 1. Pflicht des Betreibungsamtes, die zur Ermittlung des allfällig pfändbaren Teilbetrages des Reinverdienstes wesentlichen Tatsachen abzuklären. Im Beschwerdeverfahren (Art. 17-19 SchKG) sind dagegen die unbeanstandet gebliebenen Elemente der Berechnung nicht nachzuprüfen (Erw. 1). 2. Arten der Verdienstpfändung. Unzulässig ist eine vorläufige Verdienstpfändung ohne zuverlässige Feststellungen mit Fristansetzung an den Gläubiger zur Strafanzeige (Erw. 2).</w:t>
      </w:r>
    </w:p>
    <w:p>
      <w:r>
        <w:t>Regeste Saisie du revenu net provenant d'une activité indépendante (application analogique de l'art. 93 LP). 1. L'office des poursuites doit faire d'office les investigations nécessaires pour établir la part saisissable du revenu net. Dans la procédure de plainte (art. 17 à 19 LP), en revanche, on ne doit point revoir les éléments du calcul qui n'ont pas été critiqués par les parties (consid. 1). 2. Modes de saisie du revenu. On ne saurait procéder à une saisie provisoire sans avoir fait de constatations sûres mais en prévoyant la fixation d'un délai au créancier pour déposer une plainte pénale (consid. 2).</w:t>
      </w:r>
    </w:p>
    <w:p>
      <w:r>
        <w:t>Regesto Pignoramento del reddito netto proveniente da un'attività indipendente (applicazione analogica dell'art. 93 LEF). 1. L'ufficio d'esecuzione deve eseguire d'ufficio le indagini necessarie per stabilire la parte pignorabile del reddito netto. Nella procedura di reclamo (art. 17 al. 19 LEF) non si deve invece rivedere gli elementi del calcolo che non sono stati criticati dalle parti (consid. 1). 2. Modi di pignoramento del reddito. Non si può procedere a un pignoramento provvisorio senza aver fatto accertamenti sicuri, fissando al creditore un termine per presentare una denuncia penale (consid. 2).</w:t>
      </w:r>
    </w:p>
    <w:p>
      <w:pPr>
        <w:pStyle w:val="Heading2"/>
      </w:pPr>
      <w:r>
        <w:t>Erwägungen</w:t>
      </w:r>
    </w:p>
    <w:p>
      <w:r>
        <w:rPr>
          <w:b/>
        </w:rPr>
        <w:t>E. 1</w:t>
      </w:r>
    </w:p>
    <w:p>
      <w:r>
        <w:t>Auch bei der gleichfalls auf Art. 93 SchKG gestützten, der eigentlichen Lohnpfändung nachgebildeten Pfändung BGE 86 III 53 S. 55 des Reineinkommens aus selbständiger Arbeit hat das Betreibungsamt von Amtes wegen die zur Ermittlung einer allfälligen pfändbaren Verdienstquote und zu deren Bemessung entscheidenden tatsächlichen Verhältnisse abzuklären ( BGE 81 III 149 , BGE 85 III 38 , BGE 86 III 16 ). Das ist im vorliegenden Falle geschehen. Ob und wie weit die amtliche Untersuchung allenfalls mangelhaft und ihr Ergebnis unrichtig sei, war im Beschwerdeverfahren dann aber nur im Rahmen der vom Gläubiger beanstandeten Berechnungsgrundlagen nachzuprüfen; im übrigen wurde die betreibungsamtliche Verfügung rechtskräftig, wie die Vorinstanz mit Hinweis auf BGE 73 III 33 zutreffend entschieden hat. Nun war die Beschwerde nur gegen zwei Posten der Roheinnahmen erhoben worden, und demgemäss hatte der Rekurrent denn auch seine Berechnung eines angeblichen pfändbaren monatlichen Verdienstüberschusses von mehr als Fr. 200.-- ausschliesslich auf eine Erhöhung dieser beiden Rechnungsposten (Einnahmen aus Zahnhandel und aus Reisetätigkeit) gestützt. Die Notbedarfsberechnung dagegen, welche die auf Fr. 600.-- bemessenen Reisespesen enthält, hatte er zwar in ihrer Richtigkeit bezweifelt, aber nicht förmlich angefochten, sondern auch seiner eigenen Berechnung zu Grund gelegt. Auf den erst in oberer kantonaler Instanz gestellten Antrag betreffend dieses Element des Notbedarfs ist daher die obere Aufsichtsbehörde mit Recht nicht eingetreten, und vollends muss das vor Bundesgericht gestellte Rekursbegehren 3 bei dieser Sachlage ausser Betracht fallen.</w:t>
      </w:r>
    </w:p>
    <w:p>
      <w:r>
        <w:rPr>
          <w:b/>
        </w:rPr>
        <w:t>E. 2</w:t>
      </w:r>
    </w:p>
    <w:p>
      <w:r>
        <w:t>Die Einkommensberechnung des Betreibungsamtes ist, wie sich aus Erw. 1 und 2 des angefochtenen Entscheides ergibt, rechtlich einwandfrei. Der Rekurrent will sich freilich mit den Ergebnissen der amtlichen Erhebungen nicht zufrieden geben, weil sie teilweise aufblossen Angaben des Schuldners beruhen. Angesichts der nicht restlos abgeklärten Verhältnisse muss nach seiner Ansicht vorerst einmal eine Verdienstpfändung, wie er sie bereits im Fortsetzungsbegehren beantragt habe, vollzogen werden. Sollte BGE 86 III 53 S. 56 der Schuldner alsdann nicht entsprechende Monatsbeträge abliefern, so hätte der vom Gläubiger anzurufende Strafrichter den eigentlichen Verdienstumfang und damit auch die pfändbare Quote zu ermitteln. Zur Begründung beruft sich der Rekurrent auf die Rechtsprechung, wonach bei der eigentlichen Lohnpfändung unter Umständen ein vom Schuldner und vom Arbeitsgeber nicht anerkannter Lohnbetrag als bestrittener zu pfänden ist, mit der Folge, das er vom Gläubiger kraft Anweisung nach Art. 131 Abs. 2 SchKG oder von einem Ersteigerer vor dem Zivilrichter eingeklagt werden kann. Dieser Betrachtungsweise ist nicht beizutreten. Die Pfändung eines nach Abzug der Gewinnungskosten sich ergebenden Einkommens aus selbständiger Arbeit nach Art einer Lohnpfändung, d.h. hinsichtlich eines den Notbedarf der Familie übersteigenden Betrages, ist nicht Pfändung einer Forderung. Daher kommt nicht in Frage, über die feste Pfändung hinaus einen Mehrbetrag als "bestrittene Forderung" zu pfänden. Vielmehr ist Gegenstand dieser Einkommenspfändung entweder ein auf Grund von Feststellungen über den durchschnittlichen Aufwand und Ertrag einerseits und den Notbedarf anderseits zu bestimmender Monatsbetrag (sofern sich ein derart pfändbares Einkommen ergeben hat), oder es ist auf künftige monatliche Abrechnung hin der jeweilen erzielte Überschuss der Roheinnahmen über den Geschäftsaufwand und den Notbedarf als veränderlicher Überschuss, jedoch ebenfalls fest, zu pfänden ( BGE 85 III 40 Erw. 3). Im vorliegenden Falle durfte auf das durchschnittliche Reineinkommen abgestellt werden, wie es sich nicht bloss auf Grund von Angaben des Schuldners, sondern hauptsächlich an Hand von Belegen über den Zeitraum der vorausgegangenen vier Monate ermitteln liess. Da dieses Reineinkommen den Notbedarf (nebst den Reisespesen, die eigentlich bereits als Geschäftsaufwand hätten eingesetzt werden sollen) nicht erreicht, war eine Verdienstpfändung abzulehnen. Unter den gegebenen Verhältnissen kam nicht etwa BGE 86 III 53 S. 57 in Frage, nach der soeben erwähnten zweiten Methode allfällige künftige Einkommensüberschüsse gemäss monatlich vorzunehmender Abrechnung zu pfänden. Denn mit derartigen Überschüssen war nicht mit etwelcher Sicherheit zu rechnen (ganz abgesehen davon, dass vereinzelte Überschüsse zurückbehalten werden müssten, um mit Ausfällen anderer Monate ausgeglichen zu werden; vgl. BGE 68 III 158 , BGE 69 III 54 ). Zu Unrecht glaubt der Rekurrent endlich eine vorläufige Verdienstpfändung ohne zuverlässige Feststellungen verlangen zu dürfen, um gestützt darauf bei Nichteingang der vorläufig gepfändeten Beträge den Strafrichter anrufen zu können, der dann die Einkommens- und Bedarfsverhältnisse endgültig festzustellen hätte. Ein solches Vorgehen lässt sich nicht auf Art. 93 SchKG gründen. Im übrigen erscheint ein solches Zwischenstadium der vorläufigen Pfändung mit Fristansetzung zur Strafklage als zwecklos. Dem Gläubiger steht frei, ohne weiteres Strafanzeige wegen unwahrer Angaben des Schuldners zu erheben, wenn er dies verantworten zu können glaubt.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