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3</w:t>
      </w:r>
    </w:p>
    <w:p>
      <w:r>
        <w:t>Bundesgericht (BGE), 1960-05-11, DE</w:t>
      </w:r>
    </w:p>
    <w:p>
      <w:r>
        <w:rPr>
          <w:b/>
        </w:rPr>
        <w:t xml:space="preserve">Quelle: </w:t>
      </w:r>
      <w:r>
        <w:t>https://mcp.opencaselaw.ch/entscheid/bge_BGE_86_III_3</w:t>
      </w:r>
    </w:p>
    <w:p>
      <w:r>
        <w:t>FR: ATF 86 III 3</w:t>
      </w:r>
    </w:p>
    <w:p>
      <w:r>
        <w:t>IT: DTF 86 III 3</w:t>
      </w:r>
    </w:p>
    <w:p>
      <w:pPr>
        <w:pStyle w:val="Heading2"/>
      </w:pPr>
      <w:r>
        <w:t>Regeste</w:t>
      </w:r>
    </w:p>
    <w:p>
      <w:r>
        <w:t>Regeste Der Rekurs an das Bundesgericht gemäss Art. 19 SchKG muss handschriftlich unterzeichnet sein, ansonst er ungültig ist (Art. 30 Abs. 1 OG, 14 OR).</w:t>
      </w:r>
    </w:p>
    <w:p>
      <w:r>
        <w:t>Regeste Le recours au Tribunal fédéral selon l'art. 19 LP doit être signé à la main, faute de quoi il est irrecevable (art. 30 al. 1 OJ et 14 CO).</w:t>
      </w:r>
    </w:p>
    <w:p>
      <w:r>
        <w:t>Regesto Il ricorso al Tribunale federale fondato sull'art. 19 LEF dev'essere firmato a mano; altrimenti è irricevibile (art. 30 cp. 1 OG e 14 CO).</w:t>
      </w:r>
    </w:p>
    <w:p>
      <w:pPr>
        <w:pStyle w:val="Heading2"/>
      </w:pPr>
      <w:r>
        <w:t>Erwägungen</w:t>
      </w:r>
    </w:p>
    <w:p>
      <w:r>
        <w:rPr>
          <w:b/>
        </w:rPr>
        <w:t>E. 29</w:t>
      </w:r>
    </w:p>
    <w:p>
      <w:r>
        <w:t>I 477, 77 II 352, 80 IV 48, 81 IV 143, 83 II 514; mit Bezug auf den Rekurs gemäss Art. 19 SchKG /78 ff. OG: Entscheid vom 1. Juli 1955 i.S. Müller c. Zürich, nicht publ.). Der in Maschinenschrift angebrachte Name des Rekurrenten vermag die handschriftliche Unterzeichnung nicht zu ersetzen. Rücksendung an den Rekurrenten zur Verbesserung kam nicht in Frage, da bei Eingang des Rekurses beim Bundesgericht die Rekursfrist bereits abgelaufen war. Dieser Formmangel hat Ungültigkeit des Rekurses zur Folge. Dispositiv Demnach erkennt die Schuldbetr.- u. Konkurskammer: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