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114</w:t>
      </w:r>
    </w:p>
    <w:p>
      <w:r>
        <w:t>Bundesgericht (BGE), 1960-01-01, DE</w:t>
      </w:r>
    </w:p>
    <w:p>
      <w:r>
        <w:rPr>
          <w:b/>
        </w:rPr>
        <w:t xml:space="preserve">Quelle: </w:t>
      </w:r>
      <w:r>
        <w:t>https://mcp.opencaselaw.ch/entscheid/bge_BGE_86_III_114</w:t>
      </w:r>
    </w:p>
    <w:p>
      <w:r>
        <w:t>FR: ATF 86 III 114</w:t>
      </w:r>
    </w:p>
    <w:p>
      <w:r>
        <w:t>IT: DTF 86 III 114</w:t>
      </w:r>
    </w:p>
    <w:p>
      <w:pPr>
        <w:pStyle w:val="Heading2"/>
      </w:pPr>
      <w:r>
        <w:t>Regeste</w:t>
      </w:r>
    </w:p>
    <w:p>
      <w:r>
        <w:t>Regeste Konkurs von Banken und Sparkassen. Das Bankgeheimnis (Art. 47 Abs. 1 lit. b und Abs. 2 BankG) entbindet die Organe der Bank in deren Konkurs nicht von der Auskunfspflicht gegenüber der Konkursverwaltung (insbesondere nach Art. 222, 228, 244 SchKG). Es gilt auch nicht für die Konkursverwaltung selbst; deren grundsätzliche Pflicht zur Verschwiegenheit wird begrenzt durch die konkursrechtlichen Offenbarungspflichten (namentlich nach Art. 8 und 249 SchKG). (Erw. 1). Anwendungsbereich des Art. 10 der Verordnung betreffend das Nachlassverfahren von Banken und Sparkassen (Erw. 2). Bedeutung der Verordnungsbefugnis des Bundesgerichts nach Art. 36 Abs. 3 BankG (Erw. 3).</w:t>
      </w:r>
    </w:p>
    <w:p>
      <w:r>
        <w:t>Regeste Faillite de banques et de caisses d'épargne. Le secret bancaire (art. 47 al. 1 litt. b et al. 2 LB) ne libère pas les organes de la banque de l'obligation de renseigner l'administration de la faillite (en particulier selon les art. 222, 228 et 244 LP). De même, si cette dernière est tenue en principe à la discrétion, cette obligation est limitée par les communications que prescrivent les règles relatives à la faillite (notamment les art. 8 et 249 LP) (consid. 1). Portée de l'art. 10 de l'ordonnance concernant la procédure de concordat pour les banques et les caisses d'épargne (consid. 2). Sens du pouvoir réglementaire que l'art. 36 al. 3 LB confère au Tribunal fédéral (consid. 3).</w:t>
      </w:r>
    </w:p>
    <w:p>
      <w:r>
        <w:t>Regesto Fallimento di banche e di casse di risparmio. Il segreto bancario (art. 47 cp. 1 lett. b e cp. 2 LBCR) non libera gli organi della banca dall'obbligo di informare l'amministrazione del fallimento (in particolare giusta gli art. 222, 228 e 244 LEF). È vero che questa è tenuta di massima alla discrezione, ma quest'obbligo è limitato da quello di dare le comunicazioni prescritte dalle norme sul fallimento (in particolare gli art. 8 e 249 LEF) (consid. 1). Portata dell'art. 10 del regolamento concernente la procedura del concordato per le banche e le casse di risparmio (consid. 2). Significato del potere regolamentare che l'art. 36 cp. 3 LBCR conferisce al Tribunale federale (consid. 3).</w:t>
      </w:r>
    </w:p>
    <w:p>
      <w:pPr>
        <w:pStyle w:val="Heading2"/>
      </w:pPr>
      <w:r>
        <w:t>Erwägungen</w:t>
      </w:r>
    </w:p>
    <w:p>
      <w:r>
        <w:rPr>
          <w:b/>
        </w:rPr>
        <w:t>E. 1</w:t>
      </w:r>
    </w:p>
    <w:p>
      <w:r>
        <w:t>Der angefochtene Entscheid stützt sich auf die Vorschriften des Konkursrechts und ist einwandfrei, sofern keine Sondernormen für den Bankenkonkurs eingreifen und die von jenen Vorschriften abweichende Regelung, wie sie die Rekurrentin in ihrer Verfügung vorsieht, zu rechtfertigen vermögen. Die Rekurrentin beruft sich in erster Linie auf das Bankgeheimnis, wie es das Bankengesetz vom 8. November 1934 zwar nicht als zivilrechtliches Gebot ausdrücklich formuliert, aber durch die Strafnormen des Art. 47 Abs. 1 lit. b und Abs. 2 schützt und dadurch mittelbar als zivilrechtliches Gebot anerkennt. Nach den erwähnten Bestimmungen ist aber nicht, wie die Rekurrentin annimmt, jedermann, der durch seinen Beruf von den Beziehungen einer Bank Kenntnis erlangt, zur Geheimhaltung verpflichtet. Vielmehr ist danach dem Bankgeheimnis nur ein bestimmter Kreis von Personen unterstellt. Der Konkursverwalter gehört nicht dazu. Im Konkurs der Bank muss eben das Interesse Einzelner an der Geheimhaltung dem Interesse der Gläubiger an der Offenbarung der Rechtsbeziehungen der Bank weichen. Einerseits gilt das Bankgeheimnis nicht gegenüber dem Konkursverwalter, sondern wird durch die konkursrechtliche Auskunftspflicht des Gemeinschuldners, also der Bankorgane, ausgeschaltet (vgl. Art. 222, 228, 244 SchKG ), wie sich denn auch der Zweck des Konkurses ohne solche Auskunft gar nicht erreichen liesse. Anderseits hat der Konkursverwalter nicht nur selber sämtliche Akten einzusehen, sondern auch den Gläubigern gemäss den geltenden Vorschriften den Einblick zu gewähren, dessen sie zur Ausübung der ihnen im Konkursverfahren zustehenden Rechte bedürfen. Die mit der Befugnis zu amtlichen Verrichtungen grundsätzlich verbundene Pflicht zur Verschwiegenheit wird begrenzt durch die nach den Verfahrensgrundsätzen gegebenen Offenbarungspflichten. BGE 86 III 114 S. 118 Für den Kollokationsplan ist nun die öffentliche Auflegung zur Einsicht durch die Gläubiger vorgeschrieben ( Art. 249 SchKG ) und die namentliche Anführung jedes einzelnen Gläubigers gemäss amtlichem Formular unerlässlich, da sonst die sich aus Art. 250 SchKG ergebenden Rechte nicht ausgeübt werden könnten. Zur genauen Angabe der als Konkursaktiven einzubeziehenden Forderungen des Gemeinschuldners im Inventar gehört anderseits auch die Nennung des Drittschuldners. Und das Inventar als Ganzes ist ein Aktenstück, das grundsätzlich dem Einblick der Konkursgläubiger nach Art. 8 SchKG offenstehen muss. Die Einsicht in bestimmte Aktenstücke darf einem Konkursgläubiger nur unter besondern Umständen verweigert werden (so, wenn er sie aus Gründen verlangt, die mit seiner Gläubigereigenschaft nichts zu tun haben, oder wenn die Einsichtnahme keinen vernünftigen Zweck haben kann, oder endlich, wenn sich die Offenbarung eines Aktenstückes wegen seines besondern Inhaltes schicklicherweise verbietet; vgl. BGE 85 III 120 Mitte).</w:t>
      </w:r>
    </w:p>
    <w:p>
      <w:r>
        <w:rPr>
          <w:b/>
        </w:rPr>
        <w:t>E. 2</w:t>
      </w:r>
    </w:p>
    <w:p>
      <w:r>
        <w:t>Aus dem von der Rekurrentin in kantonaler Instanz angerufenen Art. 211 SchKG lässt sich gegen die gehörige Aufstellung und Auflegung des Kollokationsplans und des Inventars schlechterdings nichts herleiten. Wie dargetan, soll und darf sich die Konkursverwaltung ihrer Offenbarungspflicht gegenüber den Konkursgläubigern nicht mit Berufung auf die gemäss Art. 47 BankG bestehende Schweigepflicht der Bankorgane und der weitern dort genannten Personen entschlagen. Etwas Abweichendes folgt entgegen der Ansicht der Rekurrentin auch nicht aus Art. 10 der Verordnung betreffend das Nachlassverfahren von Banken und Sparkassen (BNV), wonach im Bestätigungsverfahren vor der Nachlassbehörde bloss eine summarische Bilanz und eine Zusammenfassung des Inventars aufzulegen und näherer Einblick nur beim Nachweis eines berechtigten Interesses zu gewähren ist. Diese Vorschrift gilt nur für das Nachlassverfahren (von BGE 86 III 114 S. 119 Banken und Sparkassen), und zwar für den durch Bestätigung oder Verwerfung des Nachlassvertrages abzuschliessenden Verfahrensabschnitt. Beim Vollzug eines Nachlassvertrages mit Vermögensabtretung (Liquidationsvergleiches) ist dann aber ein Kollokationsverfahren durchzuführen, das nach Art. 30 BNV die öffentliche Auflegung des Kollokationsplanes zur Einsicht durch die Gläubiger nötig macht und ausdrücklich den konkursrechtlichen Vorschriften, namentlich den Art. 246, 248 bis 251 SchKG unterstellt ist. Diese Ordnung ist zwingend ( BGE 61 III 91 ). Im Bankenkonkurs muss es um so mehr bei diesen Normen des allgemeinen Konkursrechtes sein Bewenden haben.</w:t>
      </w:r>
    </w:p>
    <w:p>
      <w:r>
        <w:rPr>
          <w:b/>
        </w:rPr>
        <w:t>E. 3</w:t>
      </w:r>
    </w:p>
    <w:p>
      <w:r>
        <w:t>Endlich kann die in Art. 36 Abs. 3 BankG vorgesehene Befugnis des Bundesgerichts, für den Bankenkonkurs vom SchKG abweichende Vorschriften aufzustellen, nicht zur Rechtfertigung der von der Vorinstanz aufgehobenen Verfügung herangezogen werden. Solche Vorschriften sind bisher nicht erlassen worden, bilden also nicht Bestandteil des geltenden Rechtes. Im übrigen kann nicht in Frage kommen, wichtige Grundsätze des allgemeinen Konkursrechtes auf dem Verordnungswege für den Bankenkonkurs ausser Geltung zu setzen. Das liesse sich mit der verfassungsrechtlichen Stellung des Bundesgerichts nicht wohl vereinbaren, sofern es sich nicht um Auswirkungen bankengesetzlicher Grundsätze handeln würde (vgl. FRITZSCHE, Schuldbetreibung, Konkurs und Sanierung II 405, am Ende der Ziff. II). Die allgemeinen Regeln des Kollokationsverfahrens mit voller Ausübung der Rechte der Gläubiger lassen sich aber ohne Schwierigkeiten auch im Bankenkonkurs anwenden. Gleiches gilt von der Einsichtnahme in das Konkursinventar. Man dachte denn auch bei Aufstellung des Art. 36 Abs. 3 BankG vornehmlich an verfahrenstechnische Sondernormen in bezug auf Fristbemessung, Art und Inhalt der Bekanntmachungen und dergleichen, jedoch nicht an die Ausschaltung wichtiger, vom Bankengesetz selbst nicht BGE 86 III 114 S. 120 berührter Gläubigerrechte (vgl. die Ausführungen des Berichterstatters Thalmann im Ständerat, Sten.Bull. 1934 StR S. 189 ff., besonders 195, und 253, sowie des Berichterstatters Abt im Nationalrat, Sten.Bull. 1934 NR S. 699). Endlich können wirtschaftspolitische Überlegungen, wie sie die Rekurrentin vorbringt - es sei zu befürchten, dass das Vertrauen ausländischer Kunden in das schweizerische Bankwesen erschüttert werde, wenn man nicht mit dem Fortbestehen der Geheimhaltungspflicht im Konkurs rechnen könne -, der Anwendung klarer Normen des geltenden Rechtes nicht entgegengehalten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