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11</w:t>
      </w:r>
    </w:p>
    <w:p>
      <w:r>
        <w:t>Bundesgericht (BGE), 1960-01-01, DE</w:t>
      </w:r>
    </w:p>
    <w:p>
      <w:r>
        <w:rPr>
          <w:b/>
        </w:rPr>
        <w:t xml:space="preserve">Quelle: </w:t>
      </w:r>
      <w:r>
        <w:t>https://mcp.opencaselaw.ch/entscheid/bge_BGE_86_III_11</w:t>
      </w:r>
    </w:p>
    <w:p>
      <w:r>
        <w:t>FR: ATF 86 III 11</w:t>
      </w:r>
    </w:p>
    <w:p>
      <w:r>
        <w:t>IT: DTF 86 III 11</w:t>
      </w:r>
    </w:p>
    <w:p>
      <w:pPr>
        <w:pStyle w:val="Heading2"/>
      </w:pPr>
      <w:r>
        <w:t>Regeste</w:t>
      </w:r>
    </w:p>
    <w:p>
      <w:r>
        <w:t>Regeste Lohnpfändung für Unterhaltsbeiträge (Art. 93 SchKG). Wonach beurteilt sich, ob die Betreibung privilegierte (d.h. im letzten Jahr vor ihrer Einleitung verfallene) Unterhaltsbeiträge betrifft? Muss in den Notbedarf des Schuldners eingegriffen werden, so ist der nach der massgebenden Formel berechnete Betrag ohne Rücksicht darauf zu pfänden, ob und allenfalls in welchem Umfang der Schuldner dem Unterhaltsgläubiger vor der Pfändung ohne betreibungsrechtlichen Zwang Zahlungen geleistet hat.</w:t>
      </w:r>
    </w:p>
    <w:p>
      <w:r>
        <w:t>Regeste Saisie de salaire pour une dette alimentaire (art. 93 LP). D'après quels éléments doit-on juger si la poursuite concerne une dette alimentaire privilégiée (c'est-à-dire échue au cours de l'année qui a précédé l'introduction de la poursuite)? Quand il faut entamer le minimum vital du débiteur, on doit saisir le montant calculé d'après la formule déterminante. Si, avant la saisie et indépendamment de la poursuite, le débiteura fait des paiements à son créancier, on n'en saurait tenir compte, quel qu'en soit le montant.</w:t>
      </w:r>
    </w:p>
    <w:p>
      <w:r>
        <w:t>Regesto Pignoramento del salario per debito di alimenti (art. 93 LEF). Secondo quali elementi dev'essere giudicato se l'esecuzione concerne un debito alimentare privilegiato (cioè scaduto nel corso dell'anno che ha preceduto l'introduzione dell'esecuzione)? Qualora si debba intaccare il minimo vitale del debitore, si deve pignorare l'importo calcolato secondo la formula determinante. Se, prima del pignoramento e indipendentemente dall'esecuzione, il debitore ha fatto dei pagamenti al suo creditore, non se ne può tener conto, qualunque sia l'ammontare.</w:t>
      </w:r>
    </w:p>
    <w:p>
      <w:pPr>
        <w:pStyle w:val="Heading2"/>
      </w:pPr>
      <w:r>
        <w:t>Erwägungen</w:t>
      </w:r>
    </w:p>
    <w:p>
      <w:r>
        <w:rPr>
          <w:b/>
        </w:rPr>
        <w:t>E. 2</w:t>
      </w:r>
    </w:p>
    <w:p>
      <w:r>
        <w:t>Die Gläubigerin wendet sich mit Recht gegen die Annahme der Vorinstanz, von der in Betreibung gesetzten Forderung sei nur der Betrag von Fr. 112.-- für Unterhaltsbeiträge aus dem letzten Jahr vor Anhebung der Betreibung geschuldet und daher nach der Rechtsprechung über die Lohnpfändung für Unterhaltsbeiträge ( BGE 71 III 176 und dortige Hinweise, BGE 74 III 6 , BGE 75 III 53 ) privilegiert. Beim Entscheid darüber, wieweit eine Betreibung Unterhaltsbeiträge für das ihrer Einleitung vorausgegangene Jahr betreffe, haben die Betreibungsbehörden von den Angaben im Zahlungsbefehl auszugehen. Soweit der in Rechtskraft erwachsene Zahlungsbefehl diese Frage klar beantwortet, ist er für die Betreibungsbehörden massgebend. Im Zahlungsbefehl Nr. 2304 vom 28. August 1959 ist als Grund der Forderung angegeben: "Unterhaltsbeiträge laut Urteil des Landgerichtes Uri vom 20.11.45 à Fr. 1.20 pro Tag Rückstand per 31. August 1959. Bei dieser Forderung handelt es sich zum Teil um laufende Unterhaltsbeiträge, die privilegiert sind, sodass nach bundesgerichtlicher Praxis die Abzüge sofort vorzunehmen sind. Zum mindesten für den privilegierten Teil von Fr. 438.--." Damit brachte die Gläubigerin unmissverständlich zum Ausdruck, dass sie in erster Linie für den vollen Betrag der im letzten Jahr vor Anhebung der Betreibung verfallenen Unterhaltsbeiträge, der sich auf (365 x Fr. 1.20 =) Fr. 438.-- beläuft, Zahlung verlange. Der in diesem Sinne abgefasste Zahlungsbefehl ist rechtskräftig geworden, da der Schuldner keinen Rechtsvorschlag erhob. Durch die Unterlassung des Rechtsvorschlags hat der Schuldner die in Betreibung gesetzte Forderung so, wie sie gestellt worden BGE 86 III 11 S. 14 war, mit Wirkung für die vorliegende Betreibung anerkannt. Damit ist für die Betreibungsbehörden verbindlich festgestellt, dass die Betreibungsforderung Unterhaltsbeiträge für das der Einleitung der Betreibung vorausgegangene Jahr in Höhe von Fr. 438.-- einschliesst. Es steht diesen Behörden nicht zu, die auf diese Weise abgeklärte Frage, welcher Teil der Betreibungsforderung auf Unterhaltsbeiträge für das letzte Jahr vor Anhebung der Betreibung entfalle, bei der Festsetzung der pfändbaren Lohnquote materiell zu überprüfen, wie die Vorinstanz es getan hat. Folglich hat der im Zahlungsbefehl genannte Betrag von Fr. 438.-- als privilegiert zu gelten.</w:t>
      </w:r>
    </w:p>
    <w:p>
      <w:r>
        <w:rPr>
          <w:b/>
        </w:rPr>
        <w:t>E. 3</w:t>
      </w:r>
    </w:p>
    <w:p>
      <w:r>
        <w:t>Ob ein Betrag von Fr. 438.-- oder nur ein solcher von Fr. 112.-- privilegiert sei, wäre freilich gleichgültig, wenn es bei der von der Vorinstanz angeordneten Lohnpfändung von Fr. 6.- pro Monat bleiben müsste; denn wenn vom Lohn des Schuldners während des Lohnpfändungsjahres nur Fr. 6.- pro Monat abgezogen würden, würde nicht einmal der Betrag von Fr. 112.-- gedeckt (12 x Fr. 6.- = Fr. 72.-). Der monatliche Lohnabzug muss jedoch erhöht werden. Wie die Vorinstanz mit Recht angenommen hat, muss sich der für privilegierte Unterhaltsbeiträge betriebene Schuldner, dessen Verdienst den Notbedarf einschliesslich der für den Unterhalt des Gläubigers notwendigen Alimente nicht deckt, einen Eingriff in seinen Notbedarf gefallen lassen, der so zu bemessen ist, dass sich einerseits der Schuldner und die mit ihm zusammenlebenden Familienangehörigen und anderseits der Gläubiger im gleichen Masse einschränken müssen. Die Vorinstanz hat die Formel, nach der in solchen Fällen die pfändbare Lohnquote zu berechnen ist ( BGE 71 III 177 und dortige Hinweise, BGE 74 III 46 , BGE 75 III 51 ), an sich richtig angewendet. Dagegen hat sie vom so errechneten Betrage von Fr. 33.- zu Unrecht den Betrag von Fr. 27.- abgezogen, den der Schuldner im letzten Jahre vor der Pfändung im Monatsdurchschnitt an die Gläubigerin bezahlt hatte. Muss in den Notbedarf BGE 86 III 11 S. 15 des Schuldners eingegriffen werden, so ist der nach der erwähnten Formel berechnete Betrag ohne Rücksicht darauf zu pfänden, ob und allenfalls in welchem Umfange der Schuldner dem Gläubiger vor dieser Pfändung ohne betreibungsrechtlichen Zwang Zahlungen geleistet hat. Man kann sich nicht darauf verlassen, dass der Schuldner, nachdem eine in seinen Notbedarf eingreifende Lohnpfändung angeordnet worden ist, den seinen bisherigen "freiwilligen" Zahlungen entsprechenden Teil der pfändbaren Lohnquote von sich aus an den betreibenden Gläubiger abliefern werde. Es wäre vielmehr zu befürchten, dass er den Eingriff in seinen Notbedarf durch eine entsprechende Herabsetzung seiner "freiwilligen" Zahlungen vereiteln würde. Daher ist im vorliegenden Falle der vom Arbeitgeber vorzunehmende Lohnabzug auf Fr. 33.- zu erhöhen. Diese Lohnpfändung ist, da der privilegierte Forderungsbetrag Fr. 438.--, d.h. mehr als (12 x Fr. 33.- =) Fr. 396.-- ausmacht, unter Vorbehalt der Revision wegen neu eingetretener, für die Berechnung der pfändbaren Quote erheblicher Tatsachen während des ganzen Lohnpfändungsjahres aufrechtzuerhalten.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