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 88</w:t>
      </w:r>
    </w:p>
    <w:p>
      <w:r>
        <w:t>Bundesgericht (BGE), 1959-06-10, FR</w:t>
      </w:r>
    </w:p>
    <w:p>
      <w:r>
        <w:rPr>
          <w:b/>
        </w:rPr>
        <w:t xml:space="preserve">Quelle: </w:t>
      </w:r>
      <w:r>
        <w:t>https://mcp.opencaselaw.ch/entscheid/bge_BGE_85_I_88</w:t>
      </w:r>
    </w:p>
    <w:p>
      <w:r>
        <w:t>FR: ATF 85 I 88</w:t>
      </w:r>
    </w:p>
    <w:p>
      <w:r>
        <w:t>IT: DTF 85 I 88</w:t>
      </w:r>
    </w:p>
    <w:p>
      <w:pPr>
        <w:pStyle w:val="Heading2"/>
      </w:pPr>
      <w:r>
        <w:t>Regeste</w:t>
      </w:r>
    </w:p>
    <w:p>
      <w:r>
        <w:t>Regeste Art. 4 BV. Überprüfungsbefugnis des Bundesgerichtes bei staatsrechtlichen Beschwerden gegen die Neuzuteilung im Güterzusammenlegungsverfahren.</w:t>
      </w:r>
    </w:p>
    <w:p>
      <w:r>
        <w:t>Regeste Art. 4 Cst. Pouvoir d'examen du Tribunal fédéral dans les recours de droit public en matière de remaniement parcellaire.</w:t>
      </w:r>
    </w:p>
    <w:p>
      <w:r>
        <w:t>Regesto Art. 4 CF. Potere d'esame del Tribunale federale trattandosi di ricorsi di diritto pubblico contro l'attribuzione delle nuove particelle in una procedura di raggruppamento dei terreni.</w:t>
      </w:r>
    </w:p>
    <w:p>
      <w:pPr>
        <w:pStyle w:val="Heading2"/>
      </w:pPr>
      <w:r>
        <w:t>Erwägungen</w:t>
      </w:r>
    </w:p>
    <w:p>
      <w:r>
        <w:rPr>
          <w:b/>
        </w:rPr>
        <w:t>E. 1</w:t>
      </w:r>
    </w:p>
    <w:p>
      <w:r>
        <w:t>.....</w:t>
      </w:r>
    </w:p>
    <w:p>
      <w:r>
        <w:rPr>
          <w:b/>
        </w:rPr>
        <w:t>E. 2</w:t>
      </w:r>
    </w:p>
    <w:p>
      <w:r>
        <w:t>Les recourants invoquent la garantie de la propriété. Toutefois ils ne prétendent pas que la législation vaudoise sur les réunions parcellaires soit en elle-même contraire au droit constitutionnel contenu dans cette garantie. Ils allèguent simplement que ladite législation leur a été mal appliquée. Cette affirmation ne pouvant être examinée que sous l'angle de l'arbitraire, le moyen fondé sur la garantie de la propriété se confond avec celui tiré BGE 85 I 88 S. 90 de l'art. 4 Cst. Il suffit dès lors de rechercher si, comme le soutiennent les recourants, l'autorité cantonale a commis un déni de justice matériel. Une autorité ne commet un déni de justice matériel que lorsqu'elle rend une décision manifestement insoutenable. Quand il est saisi d'un recours pour arbitraire dirigé contre une décision émanant d'une autorité cantonale supérieure en matière de remaniement ou de réunion parcellaire, le Tribunal fédéral ne joue donc nullement le rôle d'une cour d'appel, mais uniquement celui d'une juridiction constitutionnelle jouissant d'un pouvoir d'examen beaucoup plus restreint. A cela s'ajoute que, dans ce domaine, la Chambre de droit public n'intervient qu'avec retenue, et cela pour deux raisons. Tout d'abord la solution apportée au problème de la nouvelle répartition des parcelles dépend au premier chef des circonstances locales que les autorités cantonales connaissent et, partant, peuvent apprécier mieux que le Tribunal fédéral. Ensuite, le recours étant interjeté à un moment où la nouvelle répartition des terres est définitivement adoptée pour l'ensemble de l'entreprise d'améliorations foncières, l'annulation des décisions prises à l'égard d'un propriétaire particulier pourrait avoir des effets très étendus et obliger les autorités compétentes à revoir, sinon la totalité, du moins une grande partie de la nouvelle distribution des fonds, ce qui entraînerait des frais et des pertes de temps considérables. C'est pourquoi, en principe et à moins d'erreurs manifestes, le Tribunal fédéral se borne à examiner le domaine en cause dans son ensemble et à rechercher si, entre l'ancien et le nouvel état, il a subi, quant à sa composition, sa surface et sa valeur, des modifications telles que les règles les plus élémentaires régissant les remaniements ou réunions parcellaires sont violées et que le recourant se trouve sans conteste dans une situation complètement contraire à la loi et dépourvue de toute justification raisonnable (arrêts non publiés du 21 mai 1958 dans la cause Neyroud et consorts et du 4 juin 1958 dans les causes Marti et Hofmann). BGE 85 I 88 S. 91 Examiné sous cet angle et quelque compréhensibles que soient les regrets qu'éprouvent les recourants à l'idée d'abandonner des parcelles faisant depuis longtemps partie du domaine familial, le recours ne peut être que rejeté. En effet, à la suite des opérations de réunion, les propriétés des recourants ont légèrement augmenté de surface et de valeur. D'autre part, les différents fonds, autrefois passablement dispersés, ont été réunis en un seul mas, à l'exception d'une parcelle de forêts. Enfin la nature des différents terrains n'a pas sensiblement varié. Sans doute, le regroupement aurait-il pu être fait autrement, de façon par exemple à conserver dans le domaine des recourants les parcelles 519 et 505 et à ne pas lui attribuer des terrains d'accès moins commode et plus éloignés. Toutefois, la perte de ces parcelles et leur remplacement par d'autres champs ne mettent pas les recourants dans une situation qu'on pourrait taxer de contraire aux règles les plus élémentaires de la législation concernant les améliorations foncières. Dans ces conditions, le Tribunal fédéral n'a pas de raison d'intervenir.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