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7</w:t>
      </w:r>
    </w:p>
    <w:p>
      <w:r>
        <w:t>Bundesgericht (BGE), 1959-05-06, DE</w:t>
      </w:r>
    </w:p>
    <w:p>
      <w:r>
        <w:rPr>
          <w:b/>
        </w:rPr>
        <w:t xml:space="preserve">Quelle: </w:t>
      </w:r>
      <w:r>
        <w:t>https://mcp.opencaselaw.ch/entscheid/bge_BGE_85_I_7</w:t>
      </w:r>
    </w:p>
    <w:p>
      <w:r>
        <w:t>FR: ATF 85 I 7</w:t>
      </w:r>
    </w:p>
    <w:p>
      <w:r>
        <w:t>IT: DTF 85 I 7</w:t>
      </w:r>
    </w:p>
    <w:p>
      <w:pPr>
        <w:pStyle w:val="Heading2"/>
      </w:pPr>
      <w:r>
        <w:t>Regeste</w:t>
      </w:r>
    </w:p>
    <w:p>
      <w:r>
        <w:t>Regeste Doppelbesteuerung. 1. Der Schutz des Art. 46 Abs. 2 BV wird auch in der Schweiz steuerpflichtigen Ausländern zuteil (Erw. 2). 2. Besteuerung eines Ausländers, der in der Schweiz keinen Wohnsitz, sondern lediglich Aufenthalt hat. Wo ist der Fremdarbeiter zu besteuern, der sich an keinem seiner verschiedenen Arbeitsorte in der Schweiz wesentlich länger als an den andern aufhält? (Erw. 3, 4).</w:t>
      </w:r>
    </w:p>
    <w:p>
      <w:r>
        <w:t>Regeste Double imposition. 1. La protection de l'art. 46 al. 2 OJ s'étend également aux étrangers assujettis à des impôts en Suisse (consid. 2). 2. Imposition d'un étranger, qui n'a pas de domicile en Suisse mais s'y trouve simplement en séjour. Où faut-il imposer le travailleur étranger qui a différents lieux de travail en Suisse et qui ne séjourne pas nettement plus longuement dans l'un que dans l'autre? (consid. 3, 4).</w:t>
      </w:r>
    </w:p>
    <w:p>
      <w:r>
        <w:t>Regesto Doppia imposizione. 1. La protezione dell'art. 46 cp. 2 OG si estende parimente agli stranieri assoggettati alle imposte in Svizzera (consid. 2). 2. Imposizione di uno straniero che non ha domicilio in Svizzera ma vi si trova semplicemente in soggiorno. Dove dev'essereassoggettato alle imposte il lavoratore straniero che ha diversi luoghi di lavoro in Svizzera e che non soggiorna notevolmente più a lungo nell'uno che nell'altro? (consid. 3, 4).</w:t>
      </w:r>
    </w:p>
    <w:p>
      <w:pPr>
        <w:pStyle w:val="Heading2"/>
      </w:pPr>
      <w:r>
        <w:t>Erwägungen</w:t>
      </w:r>
    </w:p>
    <w:p>
      <w:r>
        <w:rPr>
          <w:b/>
        </w:rPr>
        <w:t>E. 1</w:t>
      </w:r>
    </w:p>
    <w:p>
      <w:r>
        <w:t>Gemäss Art. 7 Abs. 1 des österreichisch-schweizerischen Doppelbesteuerungsabkommens vom 12. November 1953 (AS 1954 S. 1086) werden Einkünfte aus unselbständiger Erwerbstätigkeit nur in dem Staat besteuert, in dessen Gebiet die persönliche Tätigkeit ausgeübt wird, aus der diese Einnahmen herrühren. Der Beschwerdeführer ist österreichischer Staatsangehöriger; er ist in der Schweiz auf Grund eines Dienstvertrags tätig. Er ist daher in der Schweiz für sein hier erzieltes Erwerbseinkommen steuerpflichtig.</w:t>
      </w:r>
    </w:p>
    <w:p>
      <w:r>
        <w:rPr>
          <w:b/>
        </w:rPr>
        <w:t>E. 2</w:t>
      </w:r>
    </w:p>
    <w:p>
      <w:r>
        <w:t>Das durch Art. 46 Abs. 2 BV gewährleistete Recht auf Schutz vor interkantonaler Doppelbesteuerung steht auch den in der Schweiz steuerpflichtigen Ausländern zu ( BGE 37 I 358 , BGE 48 I 381 Erw. 1). Offensichtlich und allseits anerkannt ist, dass der Beschwerdeführer in der Schweiz keinen Wohnsitz hat, weil er sich als lediger Facharbeiter nirgends mit der Absicht dauernden Verbleibens aufhält, sondern von seiner Arbeitgeberin jeweils nur für kurze Zeit auf deren verschiedenen Baustellen eingesetzt wird. Im interkantonalen Verhältnis lässt sich seine Steuerpflicht demnach nicht an einen Wohnsitz, sondern nur an den Aufenthaltsort anknüpfen.</w:t>
      </w:r>
    </w:p>
    <w:p>
      <w:r>
        <w:rPr>
          <w:b/>
        </w:rPr>
        <w:t>E. 3</w:t>
      </w:r>
    </w:p>
    <w:p>
      <w:r>
        <w:t>Hat ein Ausländer in der Schweiz keinen Wohnsitz und knüpft die Besteuerung lediglich an seinen Aufenthalt daselbst an, so sind die kantonalen Steuerhoheiten grundsätzlich danach abzugrenzen, welchem schweizerischen Aufenthaltsort der Steuerpflichtige während des Zeitraums, BGE 85 I 7 S. 11 wofür die Steuer geschuldet wird, am stärksten verbunden war ( BGE 46 I 413 ; entsprechend für einen Schweizer ohne Wohnsitz das nicht veröffentlichte Urteil vom 18. Juli 1934 i.S. Waber, vgl. LOCHER, Doppelbesteuerungsrecht, § 3, II A, Nr. 2). Nach der ständigen Rechtsprechung des Bundesgerichts ergibt sich die Stärke der Beziehungen zu einem Ort nicht aus irgendwelchen formellen Merkmalen (wie der polizeilichen Anmeldung), sondern aus der Gesamtheit der tatsächlichen Gegebenheiten ( BGE 69 I 13 , 79 Erw. 4 sowie die von LOCHER, a.a.O., unter § 3, I A, 2 d angeführten, nicht veröffentlichten Urteile). Das muss auch für Ausländer gelten. Es kommt mithin im vorliegenden Falle nicht darauf an, in welchem Kanton der Beschwerdeführer die Aufenthaltsbewilligung erlangte, und ob er sich bei Verlegung seines Aufenthalts in einen andern Kanton jeweils innert acht Tagen bei der dortigen Fremdenpolizeibehörde anmeldete, wie es Art. 8 Abs. 3 ANAG in der Fassung vom 8. Oktober 1948 (AS 1949 I S. 222) vorschreibt. Die Beziehungen, die sich aus dem Dienstvertrag des Beschwerdeführers zu Bern als dem Sitz seiner Arbeitsgeberin ergeben, erschöpften sich im wesentlichen darin, dass die A. Lüscher AG dort die Aufenthalts- und Arbeitsbewilligung für ihn einholte. Sie waren damit insofern formeller Art. Die Unternehmung setzte den Beschwerdeführer, wie es der Dienstvertrag vorsieht, auf ihren auswärtigen Baustellen ein; er hielt sich nur während der drei Wochen, da er in den von Roll'schen Eisenwerken arbeitete, in Bern auf. Es lässt sich daher nicht sagen, seine Beziehungen zu Bern seien infolge des Umstandes, dass seine Arbeitgeberin dort ihren Sitz hat, enger gewesen als die zu den auswärtigen Baustellen.</w:t>
      </w:r>
    </w:p>
    <w:p>
      <w:r>
        <w:rPr>
          <w:b/>
        </w:rPr>
        <w:t>E. 4</w:t>
      </w:r>
    </w:p>
    <w:p>
      <w:r>
        <w:t>Anderseits wurde er an keinem der verschiedenen Arbeitsorte wesentlich länger eingesetzt als an den andern. Unter solchen besonderen Umständen, da in der Schweiz weder ein Wohnsitz, noch ein längerer, die andern überwiegender Aufenthalt an einem bestimmten Orte gegeben BGE 85 I 7 S. 12 ist, bleibt nichts anderes übrig, als die Steuerhoheit dem jeweiligen Aufenthaltskanton für die Dauer des dortigen Aufenthalts zuzuerkennen, auch wenn damit eine Zersplitterung der Steuererhebung verbunden ist. Diese erschwert übrigens die Ausscheidung und den Steuerbezug nicht wesentlich, zumal wenn die Steuer an der Quelle, d.h. beim Arbeitgeber zulasten des Lohnanspruchs des Arbeitnehmers, erhoben wird. Der Kanton Graubünden war deshalb im Jahre 1958 berechtigt, den Beschwerdeführer für alle Zeitspannen zu besteuern, während derer er in Sedrun arbeitete (also über die tatsächlich erfolgte Besteuerung hinaus auch für die Zeit vom 7. bis 13. November und vom 15. bis 31. Dezember). Dem Kanton Bern steht die Steuerhoheit dagegen nur für die drei Wochen zu, da der Beschwerdeführer in Bern, und für die drei Tage, da er auf der Schynigen Platte arbeitete.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