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85 I 66</w:t>
      </w:r>
    </w:p>
    <w:p>
      <w:r>
        <w:t>Bundesgericht (BGE), 1959-01-01, DE</w:t>
      </w:r>
    </w:p>
    <w:p>
      <w:r>
        <w:rPr>
          <w:b/>
        </w:rPr>
        <w:t xml:space="preserve">Quelle: </w:t>
      </w:r>
      <w:r>
        <w:t>https://mcp.opencaselaw.ch/entscheid/bge_BGE_85_I_66</w:t>
      </w:r>
    </w:p>
    <w:p>
      <w:r>
        <w:t>FR: ATF 85 I 66</w:t>
      </w:r>
    </w:p>
    <w:p>
      <w:r>
        <w:t>IT: DTF 85 I 66</w:t>
      </w:r>
    </w:p>
    <w:p>
      <w:pPr>
        <w:pStyle w:val="Heading2"/>
      </w:pPr>
      <w:r>
        <w:t>Regeste</w:t>
      </w:r>
    </w:p>
    <w:p>
      <w:r>
        <w:t>Regeste Wiedereinsetzung in den früheren Stand, Art. 47 Abs. 1 PatG. Begriff der unverschuldeten Nichteinhaltung einer Frist.</w:t>
      </w:r>
    </w:p>
    <w:p>
      <w:r>
        <w:t>Regeste Réintégration en l'état antérieur, art. 47 al. 1 LBI. Quand est-on empêché sans sa faute d'observer un délai?</w:t>
      </w:r>
    </w:p>
    <w:p>
      <w:r>
        <w:t>Regesto Reintegrazione nello stato anteriore, art. 47 cp. 1 LBI. Quando ci si trova impediti senza colpa di osservare un termine?</w:t>
      </w:r>
    </w:p>
    <w:p>
      <w:pPr>
        <w:pStyle w:val="Heading2"/>
      </w:pPr>
      <w:r>
        <w:t>Erwägungen</w:t>
      </w:r>
    </w:p>
    <w:p>
      <w:r>
        <w:rPr>
          <w:b/>
        </w:rPr>
        <w:t>E. 1</w:t>
      </w:r>
    </w:p>
    <w:p>
      <w:r>
        <w:t>Auf Grund des früheren Patentgesetzes konnte nach Ablauf der Wiederherstellungsfrist (aPatG Art. 17 Abs. 2) ein erloschenes Patent auch dann nicht wieder in Kraft gesetzt werden, wenn den Patentinhaber keinerlei Verschulden an der Versäumnis traf. Diese Ordnung hatte wegen ihrer Härte nicht selten Anstoss erregt (vgl. Botschaft zum revPatG, BBl 1950 I S. 1032 f.). Um diesen Beanstandungen Rechnung zu tragen, wurde in Art. 47 Abs. 1 revPatG bestimmt: "Vermag der Patentbewerber oder Patentinhaber glaubhaft zu machen, dass er ohne sein Verschulden an der Einhaltung einer durch das Gesetz oder die Vollziehungsverordnung vorgeschriebenen oder vom Amt für geistiges Eigentum angesetzten Frist verhindert wurde, so ist ihm auf sein Gesuch hin Wiedereinsetzung in den früheren Stand zu gewähren".</w:t>
      </w:r>
    </w:p>
    <w:p>
      <w:r>
        <w:rPr>
          <w:b/>
        </w:rPr>
        <w:t>E. 2</w:t>
      </w:r>
    </w:p>
    <w:p>
      <w:r>
        <w:t>a) Der angefochtene Entscheid geht davon aus, nach Art. 47 Abs. 1 PatG sei ein Verschulden nur dann zu verneinen, wenn die säumige Partei diejenige Sorgfalt beobachtet habe, die bei gleicher Sachlage allgemein von einem sorgsamen Geschäftsmann nach den Regeln vernünftiger Interessenwahrung angewendet worden wäre. Das beschwerdebeklagte Amt legt also an den Begriff der Sorgfalt grundsätzlich einen objektiven Massstab an. Im Anschluss daran prüft es dann, ob nach dem so ermittelten Sorgfaltsbegriff angesichts der Umstände des vorliegenden Falles ein Verschulden des Gesuchstellers fehle. Der Beschwerdeführer vertritt demgegenüber die Auffassung, der Begriff des Verschuldens im Sinne des Art. 47 PatG könne nicht ein für allemal feststehen; vielmehr habe er sich nach den Verhältnissen des Einzelfalles zu richten. Es müsse genügen, dass der Patentbewerber das vorgekehrt habe, was nach seiner ernsthaften Beurteilung eine unbeabsichtigte Zurückweisung des Gesuches vermeiden würde, und nicht das, was solche Zurückweisungen normalerweise ausschliessen würde. Demzufolge fehle ein BGE 85 I 66 S. 70 Verschulden, wenn der Patentinhaber die im gegebenen Fall von seiner subjektiven Beurteilung der Verhältnisse aus gebotenen Massnahmen zur Verhinderung der Zurückweisung ins Werk gesetzt habe, solange nur diese subjektive Beurteilung als ernsthaft angesprochen werden könne. b) Entgegen der Auffassung des Beschwerdeführers muss jedoch grundsätzlich von einer objektiven Grundlage ausgegangen, d.h. in allgemeingültiger Weise geprüft werden, welcher Grad von Sorgfalt erforderlich ist, um ein Verschulden auszuschliessen. Das erheischt schon das Gebot der rechtsgleichen Behandlung aller Rechtssubjekte. Wer Wiederherstellung anbegehrt, hat dann allerdings Anspruch darauf, dass auch die Umstände seines Falles gebührend mitberücksichtigt werden; das billigt denn auch das Amt dem Beschwerdeführer zu. Aber auch in diesem Rahmen ist schliesslich wiederum entscheidend, was unter Berücksichtigung dieser besonderen Umstände allgemein, d.h. objektiviert, an Sorgfaltspflichten von einem sorgsamen Geschäftsmann verlangt werden darf. Wollte man gemäss der Auffassung des Beschwerdeführers von der subjektiven Beurteilung der Sachlage durch denjenigen ausgehen, dem ein Versäumnis unterlaufen ist, so würde der Boden der Rechtsgleichheit verlassen und willkürrlicher Beurteilung Tür und Tor geöffnet. Der Beschwerdeführer anerkennt übrigens in Wirklichkeit selber die Notwendigkeit eines objektiven Massstabes, wenn er ausführt, natürrlich müsse jene subjektive Beurteilung als "ernsthaft" angesprochen werden können. Denn ob eine solche "Ernsthaftigkeit" gegeben sei, lässt sich nur unabhängig von der subjektiven Beurteilung durch den Säumigen nach objektiven Gesichtspunkten beurteilen. Damit kommt man aber wiederum zu einer Objektivierung in dem Sinne, dass bei gleicher Sachlage für jeden Handelnden die gleichen Anforderungen an die Sorgfalt gestellt werden müssen; das Mass dieser Sorgfalt bestimmt sich aber eben danach, was jedem sorgfältigen Geschäftsmann in gleicher Lage zumutbar ist.</w:t>
      </w:r>
    </w:p>
    <w:p>
      <w:r>
        <w:rPr>
          <w:b/>
        </w:rPr>
        <w:t>E. 3</w:t>
      </w:r>
    </w:p>
    <w:p>
      <w:r>
        <w:t>a) Das beschwerdebeklagte Amt erhebt gegenüber BGE 85 I 66 S. 71 dem Beschwerdeführer einen doppelten Vorwurf. Es legt ihm einmal zur Last, er habe es schuldhaft unterlassen, den von der Lizenznehmerin aufgesetzten Vertragstext auf die Richtigkeit der Nummer des darin als Vertragsgegenstand genannten Patentgesuches hin zu überprüfen. Im weiteren habe er nach Erhalt der Mitteilungen seines Vertreters vom 31. Januar und 29. April 1958 über die bevorstehende bzw. erfolgte Zurückweisung des Zusatzpatentgesuchs Nr. 23 708 sich damit begnügt, diese Nummer mit der im Lizenzvertrag angegebenen, seinerzeit nicht nachgeprüften zu vergleichen, um allein gestützt darauf den weittragenden Beschluss über die Aufgabe eines Rechtes zu fassen. b) Es ist klar, dass einem Patentanmelder oder Patentinhaber, wenn es um die Verwirkung einer Anmeldung oder eines Patentes geht, eine weitgehende Sorgfaltspflicht überbunden werden muss. Denn eine Wiedereinsetzung in den früheren Stand stellt einen ganz ausnahmsweisen Rechtsbehelf dar und darf nur dem zur Verfügung gestellt werden, der den ordnungsgemässen Ablauf der Dinge aus wirklich entschuldbaren Gründen gestört hat. Dem entspricht auch der Wortlaut des Art. 47 Abs. 1 PatG , wonach den Patentbewerber bzw. Patentinhaber kein Verschulden treffen darf. Schuldlosigkeit im Sinne dieser Bestimmung lässt sich zur Not allenfalls noch annehmen, wenn der Erfinder die Besorgung seiner Patentangelegenheiten einem Patentanwalt übertragen hat und dieser die Fristenkontrolle durch einen zuverlässig und gewissenhaft befundenen Angestellten vornehmen lässt, dem dann ein Versehen unterläuft. Im vorliegenden Falle hatte aber die F. AG vom Beschwerdeführer nicht die Aufgabe übernommen, gleich einem Patentanwalt die Kontrolle über die Fristeinhaltungen der Patentanmeldungen und Patente zu führen. Der Beschwerdeführer hat vielmehr - etwas leichthin - angenommen, dass er sich in der Frage, welche Patente bzw. Patentanmeldungen noch aufrecht zu erhalten seien, auf das verlassen dürfe, was jene Firma in den BGE 85 I 66 S. 72 von ihr aufgesetzten Lizenzvertrag aufgenommen hatte. Das ist aber kein pflichtgemässes Verhalten in einem Fall, in dem unter zwei Malen einem Erfinder vom Amt den Bestand einer Patentanmeldung betreffende Fristen angesetzt worden sind. Hier hatte der Beschwerdeführer selber zu handeln und selber über seine Patentanmeldungen eine Kontrolle zu führen, die ihm den Entscheid darüber erlaubte, welche Patentgesuche er aufrechterhalten und welche er fallen lassen wolle. Dem Beschwerdeführer war daher zuzumuten, bevor er einen Entschluss fasste, seine Unterlagen beizuziehen; dabei wäre er dann ohne weiteres darauf gestossen, dass das in der Mitteilung des Amtes erwähnte Zusatzpatentgesuch Nr. 23 708 sich gerade auf die Erfindung bezog, die Gegenstand des Lizenzvertrages bildete, in diesem aber versehentlich unter der nicht zutreffenden Nummer 13 804 aufgeführt war. Hat somit der Beschwerdeführer zumutbare Sorgfaltspflichten missachtet, so kann ihm nicht Schuldlosigkeit im Sinne des Art. 47 Abs. 1 PatG zugebilligt werden.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