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276</w:t>
      </w:r>
    </w:p>
    <w:p>
      <w:r>
        <w:t>Bundesgericht (BGE), 1959-03-25, DE</w:t>
      </w:r>
    </w:p>
    <w:p>
      <w:r>
        <w:rPr>
          <w:b/>
        </w:rPr>
        <w:t xml:space="preserve">Quelle: </w:t>
      </w:r>
      <w:r>
        <w:t>https://mcp.opencaselaw.ch/entscheid/bge_BGE_85_I_276</w:t>
      </w:r>
    </w:p>
    <w:p>
      <w:r>
        <w:t>FR: ATF 85 I 276</w:t>
      </w:r>
    </w:p>
    <w:p>
      <w:r>
        <w:t>IT: DTF 85 I 276</w:t>
      </w:r>
    </w:p>
    <w:p>
      <w:pPr>
        <w:pStyle w:val="Heading2"/>
      </w:pPr>
      <w:r>
        <w:t>Regeste</w:t>
      </w:r>
    </w:p>
    <w:p>
      <w:r>
        <w:t>Regeste Kantonale Handänderungsabgabe, Willkür. Kantonale Vorschrift, wonach beim "Übergang von Grundstücken auf einen neuen Eigentümer" eine Handänderungsgebühr zu entrichten ist. Anwendung auf die Begründung eines selbständigen und dauernden Baurechts.</w:t>
      </w:r>
    </w:p>
    <w:p>
      <w:r>
        <w:t>Regeste Droit de mutation cantonal, arbitraire. Disposition de droit cantonal d'après laquelle un droit de mutation est dû en cas de transfert d'immeubles à un nouveau propriétaire. Application de cette disposition à la constitution d'un droit de superficie ayant le caractère d'un droit distinct et permanent.</w:t>
      </w:r>
    </w:p>
    <w:p>
      <w:r>
        <w:t>Regesto Contribuzione sulle transazioni immobiliari, arbitrio. Disposizione di diritto cantonale che sottopone alla contribuzione sulle transazioni immobiliari il "trapasso di immobili a un nuovo proprietario". Applicazione di questo disposto alla costituzione di un diritto di superficie avente il carattere di diritto distinto e permanente.</w:t>
      </w:r>
    </w:p>
    <w:p>
      <w:pPr>
        <w:pStyle w:val="Heading2"/>
      </w:pPr>
      <w:r>
        <w:t>Erwägungen</w:t>
      </w:r>
    </w:p>
    <w:p>
      <w:r>
        <w:rPr>
          <w:b/>
        </w:rPr>
        <w:t>E. 1</w:t>
      </w:r>
    </w:p>
    <w:p>
      <w:r>
        <w:t>Die solothurnische Handänderungsgebühr ist eine Verkehrssteuer ( BGE 53 I 191 ). Eine solche Abgabe darf, wie allgemein anerkannt ist und vom Regierungsrat nicht bestritten wird, nur erhoben werden, wenn und soweit eine gesetzliche Grundlage dafür besteht. Das entspricht dem Wesen des Rechtsstaats und folgt auch aus dem in der solothurnischen Kantonsverfassung (Art. 62 Abs. 1) aufgestellten Grundsatz, dass die Bestimmungen über direkte BGE 85 I 276 S. 279 Steuern und indirekte Abgaben "Sache der Gesetzgebung" sind, was bedeutet, dass Steuern und Abgaben nur bei Vorliegen der gesetzlichen Voraussetzungen und nur in dem vom Gesetz festgestellten Umfange erhoben werden dürfen ( BGE 80 I 327 Erw. 1 mit Zitaten; vgl. ferner BGE 82 I 27 /28, BGE 84 I 93 Erw. 2).</w:t>
      </w:r>
    </w:p>
    <w:p>
      <w:r>
        <w:rPr>
          <w:b/>
        </w:rPr>
        <w:t>E. 2</w:t>
      </w:r>
    </w:p>
    <w:p>
      <w:r>
        <w:t>Nach § 1 HGG wird die Handänderungsgebühr bezogen, wenn "Grundstücke auf einen neuen Eigentümer übergehen". Darunter fällt vor allem der zivilrechtliche Eigentumsübergang an Liegenschaften. Als Handänderung im Sinne von § 1 HGG ist sodann die Übertragung der in das Grundbuch aufgenommenen selbständigen und dauernden Rechte, also auch der Baurechte, zu betrachten, da solche Rechte gemäss Art. 655 ZGB als Grundstücke im Sinne des ZGB gelten und anzunehmen ist, dass das später als das ZGB erlassene HGG den Begriff Grundstück im gleichen Sinne verwendet wie das ZGB. Auf die Begründung eines Baurechts ist § 1 HGG jedenfalls dann ohne weiteres anwendbar, wenn schon ein (nicht vom Bauberechtigten erstelltes) Bauwerk vorhanden ist, denn in diesem Falle geht das Bauwerk, d.h. ein bisheriger Bestandteil der Liegenschaft ( Art. 667 Abs. 2 ZGB ), in das Eigentum des Bauberechtigten über (HAAB N. 9 zu Art. 675 ZGB und LEEMANN N. 1 zu Art. 779 ZGB ). Kein solcher Übergang von Grundeigentum findet statt, wenn das Baurecht, wie im vorliegenden Fall, an einem unüberbauten Grundstück eingeräumt wird, weshalb dieses Rechtsgeschäft nach dem Wortlaut der Bestimmung nicht unter § 1 HGG fällt. Daraus folgt jedoch nicht, dass die Erhebung der Handänderungsgebühr bei Begründung eines solchen Baurechts gegen Art. 4 BV verstösst. Das Bundesgericht hat von jeher anerkannt, es sei nicht willkürlich, bei der Anwendung des Steuerrechts nicht auf die äussere zivilrechtliche Form, sondern auf den wirtschaftlichen Charakter eines Tatbestandes abzustellen, sofern hiefür triftige sachliche Gründe bestehen ( BGE 79 I 19 und dort angeführte frühere Urteile; Urteil vom BGE 85 I 276 S. 280 27. Juni 1956 i.S. Bühlmann, ASA Bd. 26 S. 155). So ist wiederholt entschieden worden, es sei aus dem Gesichtswinkel von Art. 4 BV nicht zu beanstanden, wenn die Handänderungssteuer auch bei der Übertragung aller Aktien einer Immobiliengesellschaft, deren einziges Aktivum eine Liegenschaft bildet, erhoben werde, wiewohl dabei zivilrechtlich kein Übergang von Grundeigentum stattfindet. Und zwar wurde dies auch für Fälle entschieden, wo nicht, wie dies heute vielfach zutrifft, eine ausdrückliche Vorschrift ein Abweichen vom zivilrechtlichen Begriff der Handänderung gestattete (nicht veröffentlichte Urteile vom 1. Juli 1927 i.S. Breitenmoser c. Zürich und vom 2. Juli 1945 i.S. Müller und Gaegauf c. Luzern). Es fragt sich, ob ernsthafte, sachliche Gründe dafür bestehen, auch die Einräumung eines als Grundstück in das Grundbuch aufzunehmenden selbständigen und dauernden Baurechts als Handänderung zu betrachten. Das ist zu bejahen. Durch die Begründung eines solchen Rechts überlässt der Liegenschaftseigentümer einen wesentlichen, wenn nicht sogar den hauptsächlichsten Teil seiner Befugnisse, nämlich das Recht, die Liegenschaft (tatsächlich) zu benutzen und darauf zu bauen, einem Dritten; es bleibt ihm nur noch die Befugnis, rechtlich über sie zu verfügen, d.h. sie - unter Vorbehalt des Baurechts - zu veräussern oder hypothekarisch zu belasten. Diese Preisgabe wichtigster Eigentümerbefugnisse erfolgt, wenn das Baurecht, wie dies regelmässig und auch hier der Fall ist, als Grundstück in das Grundbuch aufgenommen wird ( Art. 779 Abs. 3 ZGB ), auf sehr lange Zeit, nämlich für mindestens 30 Jahre ( Art. 7 Ziff. 2 GBV ) und mit der Wirkung, dass das zugunsten des Dritten bestellte Baurecht verselbständigt und dadurch seinerseits Gegenstand des Grundeigentums wird ( Art. 655 ZGB ), d.h. wie solches veräussert sowie mit Grundpfandrechten und Dienstbarkeiten belastet werden kann. EUGEN HUBER erblickte in der Begründung eines selbständigen und dauernden Rechts, sofern es als Grundstück in das Grundbuch aufgenommen wird, geradezu eine BGE 85 I 276 S. 281 Teilung des Eigentums wie bei der körperlichen Teilung einer Liegenschaft oder bei der Begründung von Mit- oder Gesamteigentum (Zum schweiz. Sachenrecht, 1914, S. 6 ff. insb. 20 ff.). Mag diese Auffassung auch rechtlich nicht haltbar sein, da die Aufnahme eines beschränkten dinglichen Rechts als "Grundstück" in das Grundbuch an seiner rechtlichen Natur im Verhältnis zum belasteten Grundstück nichts ändert ( BGE 49 III 182 /3), so lässt sich die Begründung eines solchen Rechts und dessen Aufnahme als Grundstück in das Grundbuch doch als wirtschaftliche Teilveräusserung des Grundstücks betrachten (vgl. IRENE BLUMENSTEIN N. 6 zu Art. 80 bern. StG; REINHARDT N. 11 Abs. 2 zu § 1 soloth. HGG; MEIER, Die bern. Handänderungs- und Pfandrechtsabgaben, Diss. Bern 1946 S. 106; GUHL, Die Spezialbesteuerung der Grundstückgewinne in der Schweiz, Diss. Zürich 1953 S. 79/80). Es handelt sich um einen Vorgang, der angesichts seiner Wirkungen einem Eigentumswechsel an einem Grundstück wirtschaftlich derart nahe kommt, dass die steuerrechtliche Gleichbehandlung des Vorganges mit einem Eigentumswechsel sich sachlich rechtfertigen lässt. Anderseits ist die Begründung eines solchen Baurechts, jedenfalls vom Standpunkt des Bauberechtigten aus, wirtschaftlich der Übertragung dieses Rechts sehr ähnlich, kommt es doch für den Erwerber, der nach § 3 HGG die Handänderungsgebühr grundsätzlich schuldet, auf dasselbe heraus, ob er ein schon früher begründetes und verselbständigtes Baurecht erwirbt oder ob ihm ein neues Recht eingeräumt wird. Aus allen diesen Gründen ist die analoge Anwendung von § 1 HGG auf die Begründung eines als Grundstück in das Grundbuch aufzunehmenden selbständigen und dauernden Baurechts aus dem Gesichtswinkel von Art. 4 BV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