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191</w:t>
      </w:r>
    </w:p>
    <w:p>
      <w:r>
        <w:t>Bundesgericht (BGE), 1959-01-01, DE</w:t>
      </w:r>
    </w:p>
    <w:p>
      <w:r>
        <w:rPr>
          <w:b/>
        </w:rPr>
        <w:t xml:space="preserve">Quelle: </w:t>
      </w:r>
      <w:r>
        <w:t>https://mcp.opencaselaw.ch/entscheid/bge_BGE_85_I_191</w:t>
      </w:r>
    </w:p>
    <w:p>
      <w:r>
        <w:t>FR: ATF 85 I 191</w:t>
      </w:r>
    </w:p>
    <w:p>
      <w:r>
        <w:t>IT: DTF 85 I 191</w:t>
      </w:r>
    </w:p>
    <w:p>
      <w:pPr>
        <w:pStyle w:val="Heading2"/>
      </w:pPr>
      <w:r>
        <w:t>Regeste</w:t>
      </w:r>
    </w:p>
    <w:p>
      <w:r>
        <w:t>Regeste 1. a) Die Verwaltungsgerichtsbeschwerde kann mit einer ergänzenden oder eventuellen staatsrechtlichen Beschwerde in gemeinsamer Eingabe vereinigt werden. b) Verletzungen der Bundesverfassung können gegenüber einem der Verwaltungsgerichtsbeschwerde unterliegenden kantonalen Entscheid zugleich mit diesem Rechtsmittel gerügt werden. Art. 104 Abs. 1 und Art. 107 OG (Erw. 1). 2. Wann ist ein blosser Zwischenentscheid oder eine prozessleitende Verfügung mit Verwaltungsgerichtsbeschwerde anfechtbar? Wann mit staatsrechtlicher Beschwerde? Art. 97 ff. und Art. 87 OG (Erw. 2).</w:t>
      </w:r>
    </w:p>
    <w:p>
      <w:r>
        <w:t>Regeste 1. a) Le recours de droit administratif peut être joint dans une même écriture à un recours de droit public destiné à le compléter ou qui est interjeté à titre éventuel. b) Lorsqu'une décision cantonale est susceptible d'un recours de droit administratif, le recourant peut faire valoir par cette voie également le grief d'inconstitutionnalité. Art. 104 al. 1 et 107 OJ (consid. 1). 2. Quand peut-on attaquer une simple décision incidente ou une ordonnance de procédure par la voie du recours de droit administratif? Quand peut-on le faire par le moyen du recours de droit public? Art. 97 ss, 87 OJ (consid. 2).</w:t>
      </w:r>
    </w:p>
    <w:p>
      <w:r>
        <w:t>Regesto 1. a) Il ricorso di diritto amministrativo può essere unito, in una medesima istanza, a un ricorso di diritto pubblico destinato a completarlo o che è interposto a titolo eventuale. b) Quando contro una decisione cantonale può essere presentato un ricorso di diritto amministrativo, il ricorrente può allegare mediante questo mezzo anche la censura di violazione della costituzione federale. Art. 104 cp. 1 e 107 OG (consid. 1). 2. Quando si può impugnare una semplice decisione incidentale o un decreto procedurale mediante il ricorso di diritto amministrativo? Quando lo si può fare mediante il ricorso di diritto pubblico? Art. 97 sgg., 87 OG (consid. 2).</w:t>
      </w:r>
    </w:p>
    <w:p>
      <w:pPr>
        <w:pStyle w:val="Heading2"/>
      </w:pPr>
      <w:r>
        <w:t>Erwägungen</w:t>
      </w:r>
    </w:p>
    <w:p>
      <w:r>
        <w:rPr>
          <w:b/>
        </w:rPr>
        <w:t>E. 1</w:t>
      </w:r>
    </w:p>
    <w:p>
      <w:r>
        <w:t>Wäre es nicht zulässig, Verwaltungsgerichts- und staatsrechtliche Beschwerde in einer und derselben Eingabe zu vereinigen, so könnte doch deshalb nicht ohne weiteres die ganze Eingabe unzulässig sein, wie die Beschwerdegegnerin annimmt. Vielmehr liesse sich dieser Anstand einfach durch Ausschaltung der in zweiter Linie (sei es ergänzend, sei es in eventuellem Sinn) erhobenen staatsrechtlichen Beschwerde beheben. Jedenfalls im vorliegenden Falle würde nichts hindern, dergestalt die Verwaltungsgerichtsbeschwerde allein zu berücksichtigen, da BGE 85 I 191 S. 196 die Beschwerdeführerin darauf bedacht war, deren Begründung säuberlich von derjenigen der staatsrechtlichen Beschwerde zu trennen. Indessen lässt sich gegen die Verbindung dieser beiden Beschwerden nichts Triftiges einwenden. Wenn es nach der Rechtsprechung verpönt ist, eine staatsrechtliche Beschwerde in gemeinsamer Eingabe mit einer Berufung oder mit einer Nichtigkeitsbeschwerde in Strafsachen einzureichen (vgl. BGE 63 II 38 , BGE 68 IV 10 , BGE 82 II 398 , BGE 82 IV 54 Mitte), so deshalb, weil diese Rechtsmittel verschiedenen Verfahrensregeln unterworfen sind, sowohl was die Einreichung wie auch was das vom Gericht zu beobachtende Vorgehen betrifft. Damit jedes dieser Verfahren ordnungsgemäss und ungestört abgewickelt werden kann, ist die getrennte Geltendmachung der erwähnten Rechtsmittel je in besonderer Eingabe geboten. Dagegen lässt sich mit einer Verwaltungsgerichtsbeschwerde füglich in derselben Eingabe eine staatsrechtliche Beschwerde verbinden, für die im wesentlichen übereinstimmende Verfahrensregeln gelten (vgl. Art. 107 OG ), so gut wie nichts entgegensteht, einer Berufung eine eventuelle Nichtigkeitsbeschwerde in Zivilsachen in gemeinsamer Eingabe anzufügen (vgl. BGE 81 II 304 ff., ferner BGE 82 II 565 /66, wo die Umdeutung des einen dieser Rechtsmittel in das andere erwogen wurde). Es ist denn auch schon die Vereinigung einer Klage nach Art. 111 lit. a OG mit einer konnexen staatsrechtlichen Beschwerde zugelassen worden ( BGE 81 I 186 Erw. 5, a am Ende). Ja, es erhebt sich die Frage, ob in den der Verwaltungsgerichtsbeschwerde unterstehenden Rechtsgebieten nicht überhaupt als Teil dieser Beschwerde auch die Rüge einer Verletzung der Bundesverfassung, insbesondere des Art. 4, vorgebracht werden dürfe. In der Tat kann nach Art. 104 Abs. 1 OG mit der Verwaltungsgerichtsbeschwerde ganz allgemein jede Verletzung von Bundesrecht gerügt werden, ohne dass (wie in Art. 43 Abs. 1 OG gegenüber der Berufung) die Rüge einer Verletzung verfassungsmässiger BGE 85 I 191 S. 197 Rechte der Bürger davon ausgenommen und einer staatsrechtlichen Beschwerde vorbehalten wäre. Demgemäss ist es herrschende Ansicht, dass als Bundesrecht im Sinne von Art. 104 Abs. 1 OG auch die Bundesverfassung in Betracht fällt (vgl. BIRCHMEIER, N. 2 zu Art. 104 OG ; KIRCHHOFER, Die Verwaltungsrechtspflege beim Bundesgericht, S. 43: "Die verwaltungsgerichtliche Beschwerde übernimmt allgemein die Funktion des staatsrechtlichen Rekurses bei Verletzungen der BV, die von der kantonalen Behörde in dem eine Beschwerdematerie betreffenden Entscheid begangen werden sollten"). Wird der Verwaltungsgerichtsbeschwerde gegen einen kantonalen Entscheid eine staatsrechtliche Beschwerde wegen Verletzung der Bundesverfassung beigefügt, so ist sie somit, vorausgesetzt dass die Verwaltungsgerichtsbeschwerde als solche zulässig ist, als deren Bestandteil zu betrachten. Im vorliegenden Fall ist die staatsrechtliche Beschwerde freilich nicht als selbständige Ergänzung der unter der Überschrift der Verwaltungsgerichtsbeschwerde erhobenen Rügen gedacht. Sie wird nur in eventuellem Sinn eingereicht, für den Fall nämlich, dass sich die Verwaltungsgerichtsbeschwerde als unzulässig erweisen sollte. Solch eventueller Geltendmachung eines subsidiären Rechtsmittels steht nichts entgegen (vgl. KIRCHHOFER, a.a.O., S. 74).</w:t>
      </w:r>
    </w:p>
    <w:p>
      <w:r>
        <w:rPr>
          <w:b/>
        </w:rPr>
        <w:t>E. 2</w:t>
      </w:r>
    </w:p>
    <w:p>
      <w:r>
        <w:t>Nun scheitern aber beide vorliegenden Beschwerden daran, dass das angefochtene "Erkenntnis" des Kleinen Rates nicht als beim Bundesgericht in solcher Weise anfechtbarer "Entscheid" gelten kann. a) Indem das OG in den Art. 97 ff. durchwegs von "Entscheiden" spricht, gibt es die Verwaltungsgerichtsbeschwerde zwar nicht von vornherein nur zur Anfechtung von Endentscheiden. Vielmehr umfasst der Begriff des Entscheides an und für sich neben den Endentscheiden auch Vor- und Zwischenentscheide (vgl. die Ausdrucksweise der Art. 48-50, ferner Art. 87 OG ); ja es können nicht nur Sach-, sondern auch prozessuale Entscheide bzw. prozessleitende Verfügungen als Entscheide im weitesten Sinn BGE 85 I 191 S. 198 dieses Wortes bezeichnet werden. Die nähere Umschreibung der durch Verwaltungsgerichtsbeschwerde anfechtbaren Entscheide ( Art. 97 OG : "Entscheide über bundesrechtliche Abgaben"; Art. 98 OG : "Entscheide der Bundesverwaltung über Ansprüche auf Leistung oder Rückerstattung öffentlich-rechtlicher Kautionen"; Art. 99, II OG : "Entscheide der eidgenössischen Militärverwaltung über den Umfang des Pulverregals", usw.) zeigt jedoch, dass das Gesetz in erster Linie Sachentscheidungen im Auge hat. Nicht anders sind die der Mannigfaltigkeit des betreffenden Rechtsgebietes Rechnung tragenden Umschreibungen in Art. 99, I, lit. b und c OG zu verstehen ("Entscheide ... in...-registersachen"). In der Rechtsprechung ist denn auch anerkannt, dass blosse Zwischenverfügungen grundsätzlich nicht der Anfechtung durch Verwaltungsgerichtsbeschwerde unterstehen ( BGE 56 I 354 /55, BGE 57 I 38 ; BIRCHMEIER, Ziff. II, 2, zu Art. 97 OG ). Eine Ausnahme mag für solche Zwischenverfügungen gelten, die geeignet sind, Ansprüche eines Beteiligten in einer gegen bundesrechtliche Normen verstossenden Weise zu gefährden (vgl. BGE 84 II 503 unten/504). Eine derartige Auswirkung des angefochtenen "Erkenntnisses" ist jedoch nicht vorauszusehen. Die bei andern Behörden hängige Anfechtung der für die heutige Beschwerdeführerin angeordneten Vormundschaft dürfte, wenn sie als begründet befunden werden sollte (sei es wegen örtlicher Unzuständigkeit der Vormundschaftsbehörde von Seewis i.P., sei es wegen der anscheinend gerügten andern Verfahrensmängel), einfach zu einer neuen Bevormundung Anlass geben. Sollte aber eine Bevormundung überhaupt als unstatthaft bezeichnet und die Beschwerdeführerin der elterlichen Gewalt der Mutter unterstellt werden, so wäre ihr doch wohl wegen des Widerstreites der Interessen in der vorwürfigen Angelegenheit ein Beistand als gesetzlicher Vertreter nur gerade in dieser Sache zu geben ( Art. 392 Ziff. 2 ZGB ). Das mit der vorliegenden Beschwerde angefochtene "Erkenntnis" verfügt nichts anderes als die Einstellung des Verfahrens BGE 85 I 191 S. 199 bis zur Abklärung der bei den vormundschaftlichen Instanzen hängigen Frage der gesetzlichen Vertretung der Beschwerdeführerin. Damit hat der Kleine Rat der von ihm verlangten Sachentscheidung über die Rechtmässigkeit der Departementalverfügung nicht vorgegriffen (auch nicht unter dem Gesichtspunkt, ob es eines gerichtlichen Verfahrens bedürfe, das keineswegs nur als Zweiparteienprozess denkbar ist, vgl. Art. 45 Abs. 1 ZGB , Art. 51 Abs. 1 in Verbindung mit Art. 50 Abs. 3 ZStV , BGE 81 II 252 oben). Er hat auch nicht zur materiellrechtlichen Vorfrage der Sachlegitimation der Beschwerdeführerin Stellung genommen (d.h. zur Frage nach dem Vorliegen eines schutzwürdigen Interesses der Tochter, sich der Löschung des die Eltern betreffenden Ehescheidungseintrages zu widersetzen). Mit der blossen Aussetzung des Verfahrens wird dies alles dem später vom Kleinen Rate zu fällenden Sachentscheide vorbehalten. Es lag auch gewiss nicht in der Absicht des Kleinen Rates, die ihm zustehende Entscheidung von vornherein davon abhängig zu machen, in welcher Weise allenfalls in dem von Frau S. gegen die Vormundschaftsbehörde Seewis i.P. angehobenen Verfahren jene Fragen erörtert werden mögen. Stellt sich somit das angefochtene "Erkenntnis" als für den Ausgang der Sache gänzlich unpräjudizierliche prozessuale Verfügung dar, so unterliegt es nach dem Gesagten nicht der Verwaltungsgerichtsbeschwerde. b) Mit staatsrechtlicher Beschwerde wegen Verletzung von Art. 4 BV können Zwischenentscheide nur angefochten werden, "wenn sie für den Betroffenen einen nicht wieder gutzumachenden Nachteil zur Folge haben" ( Art. 87 OG ). Die blosse Hinausschiebung der Sachentscheidung fällt an und für sich nicht als Nachteil im Sinne dieser Norm in Betracht (vgl. BIRCHMEIER, N. 4, d, zu Art. 87 OG ). Besondere Eile ist nicht geboten angesichts der vom eidgenössischen Justiz- und Polizeidepartement in seiner Vernehmlassung dargelegten begrenzten Rechtswirkung der in Frage stehenden Registereinträge. Andere Nachteile sind aber, BGE 85 I 191 S. 200 wie sich aus den Erwägungen zu lit. a) hievor ergibt, nicht zu befürchten. Somit ist auch die staatsrechtliche Beschwerde nicht zulässig.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