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186</w:t>
      </w:r>
    </w:p>
    <w:p>
      <w:r>
        <w:t>Bundesgericht (BGE), 1959-04-22, FR</w:t>
      </w:r>
    </w:p>
    <w:p>
      <w:r>
        <w:rPr>
          <w:b/>
        </w:rPr>
        <w:t xml:space="preserve">Quelle: </w:t>
      </w:r>
      <w:r>
        <w:t>https://mcp.opencaselaw.ch/entscheid/bge_BGE_85_I_186</w:t>
      </w:r>
    </w:p>
    <w:p>
      <w:r>
        <w:t>FR: ATF 85 I 186</w:t>
      </w:r>
    </w:p>
    <w:p>
      <w:r>
        <w:t>IT: DTF 85 I 186</w:t>
      </w:r>
    </w:p>
    <w:p>
      <w:pPr>
        <w:pStyle w:val="Heading2"/>
      </w:pPr>
      <w:r>
        <w:t>Regeste</w:t>
      </w:r>
    </w:p>
    <w:p>
      <w:r>
        <w:t>Regeste Art. 11 Abs. 1 UB. Die Beschwerde ist auch gegeben, wenn das eidg. Volkswirtschaftsdepartement nicht nur vorfrageweise, sondern eigens darüber entschieden hat, ob eine Bewilligung in einem bestimmten Falle erforderlich sei (Erw. 1). Art. 3 Abs. 1 letzter Satz UB. Ist eine Übernahme eines Unternehmens mit Aktiven und Passiven im Falle des Nachlassvertrages mit Vermögensabtretung möglich? (Erw. 2 und 3).</w:t>
      </w:r>
    </w:p>
    <w:p>
      <w:r>
        <w:t>Regeste Art. 11 al. 1 AIH. Le recours est aussi recevable lorsque le Département fédéral de l'économie publique a décidé à titre non pas seulement préjudiciel, mais principal, si une autorisation est nécessaire dans un cas donné (consid. 1). Art. 3 al. 1 i. f. AIH. Peut-il y avoir reprise avec l'actif et le passif d'une entreprise soumise à un concordat par abandon d'actif? (consid. 2 et 3).</w:t>
      </w:r>
    </w:p>
    <w:p>
      <w:r>
        <w:t>Regesto Art. 11 cp. 1 DISO. Il ricorso può essere presentato anche quando il Dipartimento federale dell'economia pubblica abbia deciso a titolo non solo pregiudiziale, ma principale, se un permesso è necessario in un caso determinato (consid. 1). Art. 3 cp. 1 ultima frase DISO. Può esservi assunzione, con attivo e passivo, di un'azienda sottoposta a un concordato con abbandono dell'attivo? (consid. 2 e 3).</w:t>
      </w:r>
    </w:p>
    <w:p>
      <w:pPr>
        <w:pStyle w:val="Heading2"/>
      </w:pPr>
      <w:r>
        <w:t>Erwägungen</w:t>
      </w:r>
    </w:p>
    <w:p>
      <w:r>
        <w:rPr>
          <w:b/>
        </w:rPr>
        <w:t>E. 1</w:t>
      </w:r>
    </w:p>
    <w:p>
      <w:r>
        <w:t>Selon la lettre de l'art. 11 al. 1 AIH la voie du recours de droit administratif n'est ouverte qu'à l'encontre des décisions relatives à une demande d'autorisation ou au retrait d'une autorisation. Cependant, selon la jurisprudence constante du Tribunal fédéral, lorsque le Département a décidé à titre non pas seulement préjudiciel mais principal si une autorisation est nécessaire dans un cas donné (art. 3 AIH), les parties peuvent également former un recours de droit administratif (RO 79 I 105 et 101 et plusieurs arrêts subséquents, non publiés). Tel est le cas dans la présente espèce, de sorte que le recours de Piguet, qui satisfait par ailleurs aux exigences des art. 101 ss. OJ, est recevable.</w:t>
      </w:r>
    </w:p>
    <w:p>
      <w:r>
        <w:rPr>
          <w:b/>
        </w:rPr>
        <w:t>E. 2</w:t>
      </w:r>
    </w:p>
    <w:p>
      <w:r>
        <w:t>Il est constant que l'acquéreur de l'exploitation ne l'a pas reprise avec l'actif et le passif (art. 3 al. 1 i. f. AIH; cf. art. 181 CO). L'actif proprement commercial, c'est-à-dire affecté à l'entreprise par son titulaire, est estimé à 23 751 fr. Le passif total, y compris les dettes privées, se monterait à 174 000 fr. et laisserait un découvert de 39 000 fr. environ, lequel concerne manifestement le commerce, les dettes privées étant garanties par des hypothèques. Or l'acquéreur n'a repris que quelques petites dettes courantes pour 571 fr. au total, ce qui ne représente pas - et de loin - la totalité du passif commercial; BGE 85 I 186 S. 189 aussi bien l'entreprise n'était-elle pas vendable avec les dettes. Le procès-verbal de vente, il est vrai, par le d'une "remise de l'entreprise avec actif et passif" et de "cession de l'entreprise avec actif et passif au sens de l'AIH", mais ces indications ne correspondent pas aux faits.</w:t>
      </w:r>
    </w:p>
    <w:p>
      <w:r>
        <w:rPr>
          <w:b/>
        </w:rPr>
        <w:t>E. 3</w:t>
      </w:r>
    </w:p>
    <w:p>
      <w:r>
        <w:t>Il reste à savoir si, du fait que l'entreprise a été réalisée dans une procédure de concordat par abandon d'actif, on peut néanmoins la considérer comme reprise avec l'actif et le passif. Dans son arrêt Néo-Décolletage (RO 79 I 105, précité), le Tribunal fédéral a laissé la question ouverte; elle doit être tranchée en l'espèce. Selon le système du concordat par abandon d'actif, les biens du débiteur sont soustraits à sa disposition et soumis à celle des créanciers (art. 316 lit. a LP); ils font l'objet d'une réalisation qui les fait passer dans la propriété des acquéreurs lorsqu'il s'agit d'une vente. Les dettes, en revanche, après avoir été produites et portées dans un état (art. 316 lit. t, 300 et 316 lit. c LP), restent celles du débiteur; elles sont payées suivant le résultat de la liquidation par dividendes, conformément à un tableau de distribution (art. 316 lit. n et p LP); elles sont donc éteintes par paiement partiel. Elles ne changent pas de titulaire et ne font l'objet d'aucune reprise, notamment par les acquéreurs des biens qui composent l'actif. En l'espèce, les dettes de Piguet seront éteintes par la distribution du dividende qu'aura rendu possible la réalisation de l'actif. L'acquéreur de l'actif commercial a repris quelques dettes courantes, mais cela est sans conséquence; il ne s'agit que d'une somme minime, bien inférieure au passif de l'entreprise. L'intimé croit pouvoir tirer argument du fait que, dans le concordat ordinaire (art. 293 ss. LP), le débiteur peut vendre son entreprise avec l'actif et le passif sitôt après l'homologation. Dans ce cas, il s'agit effectivement d'une cession avec l'actif et le passif, le passif étant réduit par un accord avec les créanciers, mais subsistant après BGE 85 I 186 S. 190 l'opération. La situation n'est pas la même s'agissant d'un concordat par abandon d'actif, où le débiteur, précisément, ne conserve pas ses biens, mais en cède la disposition à ses créanciers, tandis que ses dettes ne subsistent que jusqu'à la distribution du dividende et ne peuvent faire l'objet d'une cession. Le concordat par abandon d'actif serait bien plutôt comparable à la faillite, dont il n'est du reste qu'une forme atténuée; dans chacune de ces deux procédures, la disposition des biens qui composent l'actif passe à la masse, tandis que les dettes sont éteintes, dans la faillite, il est vrai, sous réserve de l'art. 265 LP, par l'attribution d'un dividende (distribution des deniers). Or il ne paraît pas douteux qu'en cas de faillite il ne saurait y avoir cession d'une entreprise avec l'actif et le passif selon l'art. 3 al. 1 i. f. AIH. Le Département allègue aussi, en faveur de la solution qu'il propose, les conséquences graves qu'une décision contraire comporterait pour les créanciers qui ne peuvent bénéficier de la disposition légale précitée, ce qui déprécierait considérablement toute entreprise horlogère comprise dans un concordat par abandon d'actif. Mais, comme dans le cas de la faillite, si une entreprise a échoué financièrement et fait l'objet d'une liquidation par la voie soit de la faillite, soit de l'abandon d'actif, qui aboutissent pratiquement à une extinction des dettes, il apparaît conforme à l'esprit - comme à la lettre - du statut horloger que le cessionnaire de l'entreprise soit assimilé à un requérant qui désire ouvrir une nouvelle exploitation de l'industrie horlogère et que sa qualification soit examinée du point de vue de l'art. 4 al. 1 lit. a et 4 al. 2 AIH. Enfin, il est juste de ne pas interpréter extensivement l'art. 3 al. 1 i. f. AIH, qui permet à tout acquéreur d'une entreprise, pourvu qu'il la reprenne avec l'actif et le passif, de s'introduire dans l'industrie horlogère sans faire la preuve qu'il remplit les conditions auxquelles doivent satisfaire tous les nouveaux venus selon l'art. 4 AIH. BGE 85 I 186 S. 191 Le législateur a du reste considéré comme indispensable l'exigence d'une reprise "avec l'actif et le passif". Dans le projet du Conseil fédéral, le Conseil national avait voulu biffer ces mots (Bull. stén. 1951, p. 323 et 325). Mais le Conseil des Etats les a réintroduits, vu les explications fournies par son rapporteur Ackermann (Bull. stén. 1951, p. 275), et le Conseil national s'est rangé à cet avis (ibidem, p. 497).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