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148</w:t>
      </w:r>
    </w:p>
    <w:p>
      <w:r>
        <w:t>Bundesgericht (BGE), 1959-06-17, DE</w:t>
      </w:r>
    </w:p>
    <w:p>
      <w:r>
        <w:rPr>
          <w:b/>
        </w:rPr>
        <w:t xml:space="preserve">Quelle: </w:t>
      </w:r>
      <w:r>
        <w:t>https://mcp.opencaselaw.ch/entscheid/bge_BGE_85_I_148</w:t>
      </w:r>
    </w:p>
    <w:p>
      <w:r>
        <w:t>FR: ATF 85 I 148</w:t>
      </w:r>
    </w:p>
    <w:p>
      <w:r>
        <w:t>IT: DTF 85 I 148</w:t>
      </w:r>
    </w:p>
    <w:p>
      <w:pPr>
        <w:pStyle w:val="Heading2"/>
      </w:pPr>
      <w:r>
        <w:t>Regeste</w:t>
      </w:r>
    </w:p>
    <w:p>
      <w:r>
        <w:t>Regeste Art. 59 BV. In einer Gerichtsstandsvereinbarung liegt nur dann ein gültiger Verzicht auf den Wohnsitzrichter, wenn ihr Inhalt unmissverständlich ist und darin der Wille des Verzichtenden, sich einem anderweitigen Richter zu unterwerfen, klar und deutlich zum Ausdruck kommt.</w:t>
      </w:r>
    </w:p>
    <w:p>
      <w:r>
        <w:t>Regeste Art. 59 Cst. Une convention de prorogation de for ne contient une renonciation valable au juge du domicile que lorsque son contenu ne prête pas à équivoque et que la volonté de l'auteur de la renonciation de se soumettre à un autre juge est clairement et nettement exprimée.</w:t>
      </w:r>
    </w:p>
    <w:p>
      <w:r>
        <w:t>Regesto Art. 59 CF. Una convenzione di proroga del foro contiene una rinuncia valida al giudice del luogo del domicilio soltanto se il suo testo non è equivoco e la volontà dell'autore della rinuncia di sottoporsi a un altro giudice è chiaramente e nettamente espressa.</w:t>
      </w:r>
    </w:p>
    <w:p>
      <w:pPr>
        <w:pStyle w:val="Heading2"/>
      </w:pPr>
      <w:r>
        <w:t>Erwägungen</w:t>
      </w:r>
    </w:p>
    <w:p>
      <w:r>
        <w:rPr>
          <w:b/>
        </w:rPr>
        <w:t>E. 1</w:t>
      </w:r>
    </w:p>
    <w:p>
      <w:r>
        <w:t>Es ist unbestritten, dass der Beschwerdeführer aufrechtstehend ist, dass er im Kanton Wallis wohnt und dass die gegen ihn geltend gemachte Forderung der Beschwerdegegnerin eine persönliche Ansprache im Sinne des Art. 59 BV darstellt. Für diese braucht er sich daher nur dann in Zürich gerichtlich belangen zu lassen, wenn er gültig auf den Richter an seinem Wohnsitz verzichtet hat.</w:t>
      </w:r>
    </w:p>
    <w:p>
      <w:r>
        <w:rPr>
          <w:b/>
        </w:rPr>
        <w:t>E. 2</w:t>
      </w:r>
    </w:p>
    <w:p>
      <w:r>
        <w:t>Nach der bundesgerichtlichen Rechtsprechung liegt in einer Gerichtsstandsvereinbarung nur dann ein gültiger Verzicht auf den Wohnsitzrichter, wenn ihr Inhalt unmissverständlich ist und darin der Wille des Verzichtenden, sich einem an sich unzuständigen Richter zu unterwerfen, BGE 85 I 148 S. 151 klar und deutlich zum Ausdruck kommt ( BGE 84 I 36 und dort angeführte frühere Urteile). In einem Fall, wo sich ebenfalls die Warenautomaten AG und ein im Kanton Wallis ansässiger Kleinhändler gegenüberstanden, hat das Bundesgericht kürzlich die Klausel: "Le for et lieu d'exécution est Zurich" noch als gültigen Verzicht auf den Wohnsitzgerichtsstand und als Verpflichtung, in Zürich Recht zu nehmen, anerkannt (nicht veröffentlichtes Urteil vom 6. Mai 1959 i.S. Clivaz). Daraus folgt indessen nicht, dass das Gleiche auch für die Klausel: "Le for d'exécution est Zurich 3" gilt. Jene Bestimmung liess immerhin klar erkennen, dass Zürich nicht nur als Erfüllungsort (lieu d'exécution), sondern auch als Gerichtsstand (for) vereinbart war. Die vorliegende Klausel dagegen hat nach ihrem Wortlaut keinen vernünftigen Sinn. Weist der Ausdruck "for" auch auf die Bezeichnung eines Gerichtsstandes hin, so lässt er sich doch nicht trennen von der zu seiner Kennzeichnung und Erklärung bestimmten Beifügung "d'exécution", die nur mit dem vom Gerichtsstand ganz verschiedenen und nicht damit zusammenhängenden Begriff des Erfüllungsortes in Verbindung gebracht werden kann, wenn nicht gar mit dem Betreibungsort (for de l'exécution forcée). Die Klausel ist demnach zweideutig und lässt sich, je nachdem man das Gewicht auf das Wort "for" oder auf die Worte "d'exécution" legt, verschieden auslegen. Es ist durchaus möglich, dass der Beschwerdeführer, der keine juristischen Kenntnisse besitzt, beim Vertragsschluss die Bedeutung der Klausel nicht verstand und sich nicht bewusst war, damit auf den verfassungsmässig gewährleisteten Gerichtsstand deS Wohnortes zu verzichten (vgl. BGE 34 I 58 ). Ein gültiger Verzicht auf diesen Gerichtsstand liegt daher nicht vor. Diese Betrachtungsweise rechtfertigt sich umso mehr, als die Beschwerdegegnerin den Text des für den Vertragsschluss verwendeten vorgedruckten Formulars abgefasst hat, also für die Unklarheit und Zweideutigkeit der Klausel verantwortlich ist, denn nach einer allgemeinen BGE 85 I 148 S. 152 Regel sind unklare Vertragsbestimmungen zuungunsten desjenigen auszulegen, der sie abgefasst hat ( BGE 48 II 246 Erw. 3, BGE 50 II 543 Erw. 4, BGE 81 II 159 ; VON TUHR, Obligationenrecht, § 34 I bei Anm. 26). Die Beschwerdegegnerin hat, wenn sie die Käufer ihrer Automaten zum Verzicht auf den ordentlichen Gerichtsstand veranlassen will, ohne weiteres die Möglichkeit, die Gerichtsstandsklausel klar und unmissverständlich dahin zu formulieren, dass die Parteien für alle Streitigkeiten aus dem Vertrag Zürich als Gerichtsstand vereinbaren oder dass der Käufer für die Beurteilung solcher Streitigkeiten die Gerichte in Zürich als zuständig anerkennt.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