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IV 73</w:t>
      </w:r>
    </w:p>
    <w:p>
      <w:r>
        <w:t>Bundesgericht (BGE), 1959-01-01, DE</w:t>
      </w:r>
    </w:p>
    <w:p>
      <w:r>
        <w:rPr>
          <w:b/>
        </w:rPr>
        <w:t xml:space="preserve">Quelle: </w:t>
      </w:r>
      <w:r>
        <w:t>https://mcp.opencaselaw.ch/entscheid/bge_BGE_85_IV_73</w:t>
      </w:r>
    </w:p>
    <w:p>
      <w:r>
        <w:t>FR: ATF 85 IV 73</w:t>
      </w:r>
    </w:p>
    <w:p>
      <w:r>
        <w:t>IT: DTF 85 IV 73</w:t>
      </w:r>
    </w:p>
    <w:p>
      <w:pPr>
        <w:pStyle w:val="Heading2"/>
      </w:pPr>
      <w:r>
        <w:t>Regeste</w:t>
      </w:r>
    </w:p>
    <w:p>
      <w:r>
        <w:t>Regeste Art. 28 StGB; Inhalt des Strafantrages. Der Verletzte ist frei, durch entsprechende Umschreibung des Sachverhaltes, den er zur Verfolgung stellt, den Strafantrag beliebig zu beschränken.</w:t>
      </w:r>
    </w:p>
    <w:p>
      <w:r>
        <w:t>Regeste Art. 28 CP; contenu de la plainte. Il est loisible à là personne lésée de limiter la plainte en indiquant d'une manière appropriée les faits pour lesquels elle demande une poursuite pénale.</w:t>
      </w:r>
    </w:p>
    <w:p>
      <w:r>
        <w:t>Regesto Art. 28 CP; contenuto della querela. La persona lesa ha la facoltà di limitare la querela indicando in modo appropriato i fatti per i quali essa domanda un perseguimento penale.</w:t>
      </w:r>
    </w:p>
    <w:p>
      <w:pPr>
        <w:pStyle w:val="Heading2"/>
      </w:pPr>
      <w:r>
        <w:t>Erwägungen</w:t>
      </w:r>
    </w:p>
    <w:p>
      <w:r>
        <w:rPr>
          <w:b/>
        </w:rPr>
        <w:t>E. 1</w:t>
      </w:r>
    </w:p>
    <w:p>
      <w:r>
        <w:t>(Ausführungen darüber, dass Loeser gemäss Art. 270 Abs. 1 und 3 BStP zur Beschwerde nicht befugt ist, soweit damit eine Verletzung von Vorschriften des MFG, sowie Art. 117 und 237 Ziff. 2 StGB geltend gemacht wird.)</w:t>
      </w:r>
    </w:p>
    <w:p>
      <w:r>
        <w:rPr>
          <w:b/>
        </w:rPr>
        <w:t>E. 2</w:t>
      </w:r>
    </w:p>
    <w:p>
      <w:r>
        <w:t>Fragen kann sich nur noch, ob die Beschwerdelegitimation insoweit gegeben sei, als beanstandet wird, dass gegen Dr. Schmid nicht Anklage wegen fahrlässiger Körperverletzung nach Art. 125 StGB erhoben wird, die Antragsdelikt ist. BGE 85 IV 73 S. 75 Der Beschwerdeführer hat in seiner Eingabe vom 3. Oktober 1957, mit der er erstmals und innert der Frist des Art. 29 StGB die Anklageerhebung gegen Dr. Schmid verlangte und die deshalb als Strafantrag in Betracht kommt, dem Beschuldigten übersetzte Geschwindigkeit und damit Verletzung von Art. 25 MFG, sowie Störung des öffentlichen Verkehrs nach Art. 237 StGB vorgeworfen. Von Körperverletzung ist in der Eingabe nicht die Rede. Freilich ist es nicht Sache des Antragstellers, den Tatbestand rechtlich zu qualifizieren. Der Strafantrag besteht in der Willenserklärung des Verletzten, dass für die angezeigte Handlung die Strafverfolgung stattfinden solle ( BGE 78 IV 49 Erw. 2 und ständige Rechtsprechung). Die rechtliche Würdigung der Handlung obliegt der Strafbehörde, die dabei an die Auffassung des Antragstellers in keiner Weise gebunden ist (vgl. BGE 68 IV 70 und zahlreiche seitherige Entscheidungen). Das schliesst aber nicht aus, dass der Verletzte einen Sachverhalt nur teilweise zur Verfolgung stelle. Er kann den Strafantrag in tatsächlicher Hinsicht nach Belieben beschränken, und er kann, wenn er eine Anzeige für Strafhandlungen einreicht, die von Amtes wegen zu verfolgen sind, darauf verzichten, die Strafverfolgung auch zu verlangen für Antragsdelikte, die daneben einhergehen. Das hat der Beschwerdeführer getan, indem er in seiner Eingabe vom 3. Oktober 1957 an das Kreisamt Obtasna die Versetzung von Dr. Schmid in den Anklagezustand ausschliesslich wegen der übersetzten Fahrgeschwindigkeit (Art. 25 MFG) und der im Rammen seines Wagens liegenden Verkehrsstörung ( Art. 237 StGB ) beantragte. Im Gegensatz hiezu wird in der Eingabe nicht nur Art. 125 StGB nicht angeführt, sondern die Verletzung des Beschwerdeführers, seiner Ehefrau und seines Sohnes wird auch in tatsächlicher Hinsicht, bei der Darstellung des Unfalles, mit keinem Wort erwähnt. Daraus durfte die Staatsanwaltschaft schliessen, dass für die Körperverletzungen eine Strafverfolgung nicht verlangt werden wolle. BGE 85 IV 73 S. 76 In dieser Auffassung musste sie auch die Eingabe vom 8. November 1958 bestärken, in der als Anklagetatbestände wiederum bloss diejenigen der Art. 117 und 237 StGB genannt wurden. Dispositiv Demnach erkennt der Kassationshof: Die Nichtigkeitsbeschwerde wird abgewiesen, soweit darauf eingetreten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