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45</w:t>
      </w:r>
    </w:p>
    <w:p>
      <w:r>
        <w:t>Bundesgericht (BGE), 1959-01-01, DE</w:t>
      </w:r>
    </w:p>
    <w:p>
      <w:r>
        <w:rPr>
          <w:b/>
        </w:rPr>
        <w:t xml:space="preserve">Quelle: </w:t>
      </w:r>
      <w:r>
        <w:t>https://mcp.opencaselaw.ch/entscheid/bge_BGE_85_IV_45</w:t>
      </w:r>
    </w:p>
    <w:p>
      <w:r>
        <w:t>FR: ATF 85 IV 45</w:t>
      </w:r>
    </w:p>
    <w:p>
      <w:r>
        <w:t>IT: DTF 85 IV 45</w:t>
      </w:r>
    </w:p>
    <w:p>
      <w:pPr>
        <w:pStyle w:val="Heading2"/>
      </w:pPr>
      <w:r>
        <w:t>Regeste</w:t>
      </w:r>
    </w:p>
    <w:p>
      <w:r>
        <w:t>Regeste Art. 70 Abs. 2 MFV. Diese Bestimmung verpflichtet den Motorfahrzeugführer nicht, dafür zu sorgen, dass Radfahrer an seinem Fahrzeug nicht anhängen. Art. 117 StGB. Keine Fahrlässigkeit des Traktorführers, der sich damit begnügte, beim Überholen jugendlicher Radfahrer durch einen Blick nach rückwärts die Rückseite seines Brückenwagens zu kontrollieren, es aber unterliess, die Radfahrer zum voraus zu warnen und auf der Weiterfahrt sich nochmals zu vergewissern, ob sie nicht angehängt hätten.</w:t>
      </w:r>
    </w:p>
    <w:p>
      <w:r>
        <w:t>Regeste Art. 70 al. 2 RA. Cette disposition légale n'oblige pas le conducteur d'un véhicule à moteur à faire en sorte que des cyclistes ne s'accrochent pas à son véhicule. Art. 117 CP. Ne commet aucune négligence le conducteur d'un tracteur qui, en dépassant de jeunes cyclistes, s'est contenté de jeter un coup d'oeil pour contrôler l'arrière du char qu'il remorque, mais n'a pas averti d'avance les cyclistes et ne s'est pas non plus assuré à nouveau, en continuant sa route, qu'ils ne s'étaient pas accrochés.</w:t>
      </w:r>
    </w:p>
    <w:p>
      <w:r>
        <w:t>Regesto Art. 70 cp. 2 RLA. Questo disposto legale non obbliga il conducente di un autoveicolo a vigilare che ciclisti non si attacchino al suo veicolo. Art. 117 CP. Non commette nessuna negligenza il conducente di una trattrice che, sorpassando giovani ciclisti, si è accontentato di controllare la parte posteriore del carro rimorchiato con uno sguardo, senza ammonire preliminarmente i ciclisti e senza assicurarsi di nuovo, proseguendo la via, che non si fossero attaccati al veicolo.</w:t>
      </w:r>
    </w:p>
    <w:p>
      <w:pPr>
        <w:pStyle w:val="Heading2"/>
      </w:pPr>
      <w:r>
        <w:t>Erwägungen</w:t>
      </w:r>
    </w:p>
    <w:p>
      <w:r>
        <w:rPr>
          <w:b/>
        </w:rPr>
        <w:t>E. 1</w:t>
      </w:r>
    </w:p>
    <w:p>
      <w:r>
        <w:t>Das Verhalten und damit auch das Mass der Sorgfalt, das der Motorfahrzeugführer im öffentlichen Verkehr zu beachten hat, wird im allgemeinen durch die Verkehrsregeln des MFG und der zugehörigen MFV bestimmt. Eine Verletzung dieser Verkehrsvorschriften durch den Beschwerdeführer hat die Vorinstanz mit Recht verneint. Tschannen hat die Radfahrer gemäss Art. 26 Abs. 3 MFG und Art. 46 Abs. 3 MFV vorsichtig überholt und auf sie Rücksicht genommen, indem er beim Vorfahren nach rückwärts schaute, um sich zu vergewissern, dass der Anhänger des Traktors nicht einen der Knaben gefährde. Er war nicht auch noch verpflichtet, dafür zu sorgen, dass die Knaben die Vorschrift des Art. 70 Abs. 2 MFV befolgten, d.h. an seinem Fahrzeug nicht anhängten. Das Verbot, an Fuhrwerken und Motorfahrzeugen anzuhängen, ist nach der Überschrift zu Abschnitt IV lit. c der MFV eine für Radfahrer bestimmte Verkehrsvorschrift; das Gesetz schreibt nirgends vor, dass die Motorfahrzeugführer Vorsichtsmassnahmen zu treffen hätten, damit das Verbot von den Radfahrern eingehalten werde. BGE 85 IV 45 S. 48</w:t>
      </w:r>
    </w:p>
    <w:p>
      <w:r>
        <w:rPr>
          <w:b/>
        </w:rPr>
        <w:t>E. 2</w:t>
      </w:r>
    </w:p>
    <w:p>
      <w:r>
        <w:t>Das heisst aber nicht, dass jedes Verhalten im öffentlichen Verkehr als erlaubt gelte, wenn die Bestimmungen des MFG und der MFV es nicht ausdrücklich verbieten. Der Motorfahrzeugführer, der mit seinem Fahrzeug einen Unfall verursacht, kann z.B. der fahrlässigen Körperverletzung oder der fahrlässigen Tötung auch schuldig sein, wenn er ein Gebot der allgemeinen Vorsichtspflicht missachtet, vorausgesetzt, dass sein Verhalten nach den Regeln des MFG und der MFV nicht geradezu rechtmässig ist ( BGE 78 IV 75 ). Der Beschwerdeführer hat die ihm obliegende Sorgfaltspflicht nicht verletzt. Hätte er aus irgendeinem Grunde festgestellt, dass einer der Knaben am Brückenwagen anhängte, so wäre er verpflichtet gewesen, die zur Abwendung der Unfallgefahr erforderlichen Massnahmen zu treffen. Tschannen hat jedoch nicht gewusst, dass die Knaben sich nachziehen liessen, und bestimmte Anhaltspunkte, dass sie es tun werden, hatte er nicht. Der Umstand allein, dass sie sich auf dem Heimweg undiszipliniert benahmen und erfahrungsgemäss gerne anhängten, rückte die Gefahr des Anhängens nicht derart in die Nähe, dass er besondere Vorsichtsmassnahmen ergreifen musste. Der Beschwerdeführer durfte davon ausgehen, dass Knaben im Sekundarschulalter, die täglich mit dem Fahrrad zur Schule fahren, wissen, dass Anhängen an Fahrzeugen verboten ist. Tatsächlich war ihnen das Verbot bekannt, und sie wussten auch, dass Tschannen das Anhängen nicht duldete. Nachdem der Beschwerdeführer zu Beginn der Steigung nach rückwärts beobachtet und dabei keinen Knaben gesehen hatte, der sich am Anhänger festhielt, durfte er sich mit dieser Feststellung begnügen. Er war nicht verpflichtet, die Knaben zum voraus zu warnen oder wegzuweisen, denn gefährdet waren sie erst, als sie anhängten, und das taten sie nach den Feststellungen der Vorinstanz nicht, als Tschannen zurückblickte. Dass der Beschwerdeführer dabei den Knaben Tiefenbach, der sich rechts neben dem Anhänger befand, nicht gesehen hat, wahrscheinlich deshalb BGE 85 IV 45 S. 49 nicht, weil er den Kopf nach links drehte und seine Aufmerksamkeit der Rückseite des Brückenwagens zuwandte, kann ihm nicht zum Vorwurf gemacht werden. Mit der Möglichkeit, dass sich ein Knabe im vordern Teil der rechten Längsseite des Brückenwagens, an einer völlig ungewöhnlichen Stelle, anhängen könnte, brauchte er nicht zu rechnen. Auch konnte von ihm nicht verlangt werden, dass er während der Fahrt den Brückenwagen nach allen Seiten einer genauen Kontrolle unterziehe, wie denn auch die Forderung, dass er sich wiederholt hätte zurückwenden müssen, um sich zu vergewissern, ob die Knaben nicht doch noch angehängt hätten, die Grenzen des Zumutbaren übersteigt. Der Beschwerdeführer war in erster Linie verpflichtet, sein Augenmerk auf die Führung. des Traktors und die Beobachtung des vor ihm liegenden Strassenstückes zu richten, das eine langgezogene Kurve beschrieb; es ginge zu weit, dem Führer eines Motorfahrzeuges auch noch die Aufgabe zu überbürden, überholte Strassenbenützer so lange zu überwachen, bis feststeht, dass sie sein Fahrzeug nicht mehr einholen können. Dass schliesslich der Rückspiegel am Traktor des Beschwerdeführers verstellt und unbenützbar war, ist ohne Belang, weil er nach Art. 38 MFV nicht zur gesetzlich geforderten Ausrüstung landwirtschaftlicher Traktoren gehört.</w:t>
      </w:r>
    </w:p>
    <w:p>
      <w:r>
        <w:rPr>
          <w:b/>
        </w:rPr>
        <w:t>E. 3</w:t>
      </w:r>
    </w:p>
    <w:p>
      <w:r>
        <w:t>Fällt dem Beschwerdeführer keine Fahrlässigkeit zur Last, so ist er zu Unrecht wegen fahrlässiger Tötung und fahrlässiger Störung des öffentlichen Verkehrs bestraft worden. Er ist daher von der Anklage dieser Vergehen freizusprechen. Dispositiv Demnach erkennt der Kassationshof: Die Nichtigkeitsbeschwerde wird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