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IV 4</w:t>
      </w:r>
    </w:p>
    <w:p>
      <w:r>
        <w:t>Bundesgericht (BGE), 1959-01-01, DE</w:t>
      </w:r>
    </w:p>
    <w:p>
      <w:r>
        <w:rPr>
          <w:b/>
        </w:rPr>
        <w:t xml:space="preserve">Quelle: </w:t>
      </w:r>
      <w:r>
        <w:t>https://mcp.opencaselaw.ch/entscheid/bge_BGE_85_IV_4</w:t>
      </w:r>
    </w:p>
    <w:p>
      <w:r>
        <w:t>FR: ATF 85 IV 4</w:t>
      </w:r>
    </w:p>
    <w:p>
      <w:r>
        <w:t>IT: DTF 85 IV 4</w:t>
      </w:r>
    </w:p>
    <w:p>
      <w:pPr>
        <w:pStyle w:val="Heading2"/>
      </w:pPr>
      <w:r>
        <w:t>Regeste</w:t>
      </w:r>
    </w:p>
    <w:p>
      <w:r>
        <w:t>Regeste Art. 32 StGB. Rechtfertigungsgrund im Sinne dieser Bestimmung ist die Selbsthilfe zur Wahrung des Besitzesstandes nur, wenn sie den Voraussetzungen des Art. 926 ZGB entspricht.</w:t>
      </w:r>
    </w:p>
    <w:p>
      <w:r>
        <w:t>Regeste Art. 32 CP. Les mesures qu'une personne prend pour sauvegarder sa possession ne sont une cause de libération au sens de l'art. 32 CP que si les conditions de l'art. 926 CC sont remplies.</w:t>
      </w:r>
    </w:p>
    <w:p>
      <w:r>
        <w:t>Regesto Art. 32 CP. I provvedimenti presi da una persona per salvaguardare il suo possesso costituiscono un motivo di liberazione nel senso dell'art. 32 CP soltanto se le premesse dell'art. 926 CC sono adempiute.</w:t>
      </w:r>
    </w:p>
    <w:p>
      <w:pPr>
        <w:pStyle w:val="Heading2"/>
      </w:pPr>
      <w:r>
        <w:t>Erwägungen</w:t>
      </w:r>
    </w:p>
    <w:p>
      <w:r>
        <w:rPr>
          <w:b/>
        </w:rPr>
        <w:t>E. 1</w:t>
      </w:r>
    </w:p>
    <w:p>
      <w:r>
        <w:t>.....</w:t>
      </w:r>
    </w:p>
    <w:p>
      <w:r>
        <w:rPr>
          <w:b/>
        </w:rPr>
        <w:t>E. 2</w:t>
      </w:r>
    </w:p>
    <w:p>
      <w:r>
        <w:t>Gegenüber seiner Verurteilung wegen Sachbeschädigung wendet der Beschwerdeführer ein, er sei nach Art. 926 ZGB zur Tat berechtigt gewesen. Da Koch, wie auch die Vorinstanz annimmt, bei der Errichtung der Rollenreuteranlage eigenmächtig und widerrechtlich vorgegangen war, indem er, ohne zuvor die Erlaubnis Kellers einzuholen, Verstrebungspfosten in dessen Grundstück eingeschlagen hatte, stellt sich in der Tat die Frage, ob eine Bestrafung des Beschwerdeführers nicht nach Art. 32 StGB in Verbindung mit Art. 926 ZGB entfalle. Denn als "Gesetz", aus dem sich gemäss Art. 32 StGB der Grund der Rechtfertigung oder Straflosigkeit ergeben kann, ist - was das Amtsgericht offenbar übersehen hat - nicht BGE 85 IV 4 S. 6 nur das Strafgesetz, sondern auch jeder andere gesetzliche Erlass, insbesondere auch das Zivilgesetz zu verstehen. Indessen beruft sich der Beschwerdeführer vergeblich auf Art. 926 ZGB . Diese Bestimmung gewährt dem Besitzer kein allgemeines Gewaltrecht, sondern gestattet ihm die Gewaltanwendung nur soweit, als sie erforderlich ist zur Wahrung des ungestörten Besitzesstandes ( Art. 926 Abs. 3 ZGB ; HOMBERGER, Kommentar, N. 22 und 26 zu Art. 926; OSTERTAG, Kommentar N. 2 und 25 ff. zu Art. 926). Das will zwar nicht heissen, dass im vorliegenden Fall der Beschwerdeführer zunächst obrigkeitliche Hilfe hätte anrufen müssen. Dagegen wäre er verpflichtet gewesen, bevor er zur Selbsthilfe schritt, Koch zur Entfernung der auf seinem Grund und Boden eingelassenen Pfosten aufzufordern. Ein solches Vorgehen, das auch im Interesse guter nachbarlicher Beziehungen gelegen hätte, wäre Keller zuzumuten gewesen, nachdem für ihn keine Gefahr im Verzuge lag, das Heu des Beschwerdegegners aber selbst bei sachgemässer Entfernung der Verstrebungspfosten infolge der dadurch bewirkten Entspannung der Drähte auf den Boden fallen und bei Regen Schaden nehmen konnte. Indem Keller ohne vorhergehende gütliche Aufforderung unvermittelt zur Selbsthilfe schritt, legte er ein Verhalten an den Tag, das durch die Umstände nicht gerechtfertigt war. Ja, der Vorwurf, widerrechtlich gehandelt zu haben, bliebe dem Beschwerdeführer selbst dann nicht erspart, wenn er unmittelbar zur eigenhändigen Abwendung der Besitzesstörung befugt gewesen wäre. Da, wie bereits erwähnt, die in Betätigung der Selbsthilfe angewendete Gewalt nicht weiter gehen darf, als zur Abwehr der Störung erforderlich ist, hat der beeinträchtigte Besitzer jede unnötige Schädigung des Störers zu vermeiden. Keller hätte daher bei Entfernung der Verstrebungspfosten mit der Sorgfalt verfahren müssen, die der Eigentümer der Anlage dabei selber aufgewendet hätte. Das aber hat er ohne Zweifel nicht getan, ansonst die Drähte nicht zerrissen worden wären. Er hat demnach BGE 85 IV 4 S. 7 seinem Nachbarn unnötigerweise Schaden zugefügt und damit in jedem Fall das nach Art. 926 ZGB zulässige Mass der Gewaltanwendung überschritten.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