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35</w:t>
      </w:r>
    </w:p>
    <w:p>
      <w:r>
        <w:t>Bundesgericht (BGE), 1959-01-01, DE</w:t>
      </w:r>
    </w:p>
    <w:p>
      <w:r>
        <w:rPr>
          <w:b/>
        </w:rPr>
        <w:t xml:space="preserve">Quelle: </w:t>
      </w:r>
      <w:r>
        <w:t>https://mcp.opencaselaw.ch/entscheid/bge_BGE_85_IV_35</w:t>
      </w:r>
    </w:p>
    <w:p>
      <w:r>
        <w:t>FR: ATF 85 IV 35</w:t>
      </w:r>
    </w:p>
    <w:p>
      <w:r>
        <w:t>IT: DTF 85 IV 35</w:t>
      </w:r>
    </w:p>
    <w:p>
      <w:pPr>
        <w:pStyle w:val="Heading2"/>
      </w:pPr>
      <w:r>
        <w:t>Regeste</w:t>
      </w:r>
    </w:p>
    <w:p>
      <w:r>
        <w:t>Regeste 1. Art. 25 Abs. 1 MFG. Auch während des Überholens muss die Geschwindigkeit den gegebenen Strassen- und Verkehrsverhältnissen angepasst sein. 2. Art. 26 Abs. 3 MFG. Überholen vor einer unübersichtlichen Strassenbiegung.</w:t>
      </w:r>
    </w:p>
    <w:p>
      <w:r>
        <w:t>Regeste 1. Art. 25 al. 1 LA. Au cours du dépassement aussi, la vitesse doit être adaptée aux conditions de la route et de la circulation. 2. Art. 26 al. 3 LA. Dépassement à un tournant où la vue était restreinte.</w:t>
      </w:r>
    </w:p>
    <w:p>
      <w:r>
        <w:t>Regesto 1. Art. 25 cp. 1 LA. Anche nel sorpasso, la velocità deve essere adattata alle particolari condizioni della strada e della circolazione. 2. Art. 26 cp. 3 LA. Sorpasso a una svolta ove la visuale non era libera.</w:t>
      </w:r>
    </w:p>
    <w:p>
      <w:pPr>
        <w:pStyle w:val="Heading2"/>
      </w:pPr>
      <w:r>
        <w:t>Erwägungen</w:t>
      </w:r>
    </w:p>
    <w:p>
      <w:r>
        <w:rPr>
          <w:b/>
        </w:rPr>
        <w:t>E. 1</w:t>
      </w:r>
    </w:p>
    <w:p>
      <w:r>
        <w:t>(Ausführungen darüber, dass der Beschwerdeführer, entgegen seiner Behauptung, nicht nur während des Überholens mit 60-65 km/Std gefahren ist und dass diese Geschwindigkeit den gegebenen Strassen- und Verkehrsverhältnissen nicht angepasst war.) Es würde den Beschwerdeführer aber auch nicht entlasten, wenn er nur während des Überholens mit 60-65 km/Std gefahren wäre. Art. 25 Abs. 1 MFG verlangt ohne jeden Vorbehalt, auch für das Überholen (vgl. BGE 64 I 354 ), dass der Führhrer die Geschwindigkeit den gegebenen Strassen- und Verkehrsverhältnissen anpasse. Über diese elementare Verkehrsregel durfte sich der Beschwerdeführer nicht hinwegsetzen, auch nicht zum Zwecke, durch Beschleunigung der Fahrt den Überholungsweg möglichst abzukürzen. Eine Geschwindigkeit, die an sich schon übersetzt ist, ist erst recht während des Überholens unzulässig, da durch dieses die Verkehrsgefahren erhöht werden. War das Überholen nur mit übersetzter, den Strassen- und Verkehrsverhältnissen nicht angepasster Geschwindigkeit möglich, so durfte es überhaupt nicht begonnen werden.</w:t>
      </w:r>
    </w:p>
    <w:p>
      <w:r>
        <w:rPr>
          <w:b/>
        </w:rPr>
        <w:t>E. 2</w:t>
      </w:r>
    </w:p>
    <w:p>
      <w:r>
        <w:t>(Feststellung, dass der Beschwerdeführer im Sinne von Art. 26 Abs. 3 MFG an unübersichtlicher Stelle überholt hat, da das Überholungsmanöver beim Beginn der Strassenbiegung noch nicht abgeschlossen war.) Übrigens wäre seine Verurteilung nach Art. 26 Abs. 3 MFG auch dann begründet, wenn er schon einige Meter BGE 85 IV 35 S. 37 vor Beginn der Biegung wieder die ordentliche Fahrbahn erreicht gehabt hätte. Wer vor einer unübersichtlichen Strassenbiegung überholen will, hat in Rechnung zu stellen, dass während seines Unternehmens aus der Biegung heraus ein Fahrzeug auftauchen und sich ihm nähern könnte. Es genügt daher nicht, dass er darnach trachtet, das Überholen kurz vor Erreichung der Biegung abzuschliessen, sondern er muss es schon so weit von der Biegung entfernt beendet haben, dass ein während des Überholens in der Biegung auftauchendes Fahrzeug seinen Weg unter Einhaltung einer angemessenen Geschwindigkeit fortsetzen kann, ohne gefährdet zu werden. Dabei hat er auch zu bedenken, dass es immer wieder vorkommt, dass Motorfahrzeugführer die den örtlichen Verhältnissen, insbesondere der Unübersichtlichkeit einer Biegung angemessene Geschwindigkeit überschreiten. Er darf daher nicht so knapp rechnen, dass ein ihm mit etwas übersetzter Geschwindigkeit Entgegenfahrender nicht mehr Zeit findet, die Fahrt rechtzeitig und ungefährdet in angemessener Weise zu verzögern. Hätte der Beschwerdeführer diese ihm zumutbaren Überlegungen getroffen, so hätte er sich sagen müssen, dass er seiner Vorsichtspflicht nicht genüge, wenn er das Überholen erst wenige Meter vor Erreichung der Biegung beende.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