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85 IV 213</w:t>
      </w:r>
    </w:p>
    <w:p>
      <w:r>
        <w:t>Bundesgericht (BGE), 1959-06-19, IT</w:t>
      </w:r>
    </w:p>
    <w:p>
      <w:r>
        <w:rPr>
          <w:b/>
        </w:rPr>
        <w:t xml:space="preserve">Quelle: </w:t>
      </w:r>
      <w:r>
        <w:t>https://mcp.opencaselaw.ch/entscheid/bge_BGE_85_IV_213</w:t>
      </w:r>
    </w:p>
    <w:p>
      <w:r>
        <w:t>FR: ATF 85 IV 213</w:t>
      </w:r>
    </w:p>
    <w:p>
      <w:r>
        <w:t>IT: DTF 85 IV 213</w:t>
      </w:r>
    </w:p>
    <w:p>
      <w:pPr>
        <w:pStyle w:val="Heading2"/>
      </w:pPr>
      <w:r>
        <w:t>Regeste</w:t>
      </w:r>
    </w:p>
    <w:p>
      <w:r>
        <w:t>Regeste</w:t>
      </w:r>
    </w:p>
    <w:p>
      <w:r>
        <w:t>Regeste</w:t>
      </w:r>
    </w:p>
    <w:p>
      <w:r>
        <w:t>Regesto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Bei Berufungen, Beschwerden und direkten Prozessen, ausgenommen diejenigen nach Art. 41 lit. c Abs. 2 OG : Streitwert Gerichtsgebühr Fr. - bis 15'000,- Fr. 25.- bis 800.-- " 15'000.--" 50'000.--" 500.--" 1'500.-- " 50'000.--" 100'000.--" 1'000.--" 3'000.-- " 100'000.--" 200'000.--" 1'500.--" 4'000.-- über Fr. 200'000.--" 2'000.--" 5'000.--</w:t>
      </w:r>
    </w:p>
    <w:p>
      <w:r>
        <w:rPr>
          <w:b/>
        </w:rPr>
        <w:t>E. 2</w:t>
      </w:r>
    </w:p>
    <w:p>
      <w:r>
        <w:t>In direkten Prozessen nach Art. 41 lit. c Abs. 2 OG (Prorogationsprozesse): Streitwert Gerichtsgebühr Fr. 20'000.-- bis 50'000.-- Fr. 200.-- bis 2'000.-- " 50'000.--" 100'000.--" 500,-" 5'000.-- " 100'000.--" 200'000.--" 1'000.--" 9'000. - über Fr. 200'000.--" 1'500.--" 10'000.--</w:t>
      </w:r>
    </w:p>
    <w:p>
      <w:r>
        <w:rPr>
          <w:b/>
        </w:rPr>
        <w:t>E. 3</w:t>
      </w:r>
    </w:p>
    <w:p>
      <w:r>
        <w:t>In Enteignungsstreitigkeiten wird bei Annahme des Vorentscheides eine Gebühr von Fr. 25.- bis zur Hälfte der unter Ziff. 1 bestimmten Ansätze berechnet. Muss das Gericht entscheiden, so ist Ziff. 1 anzuwenden. Werden mehrere Fälle zusammen behandelt, so wird für sie eine Gesamtgebühr bestimmt.</w:t>
      </w:r>
    </w:p>
    <w:p>
      <w:r>
        <w:rPr>
          <w:b/>
        </w:rPr>
        <w:t>E. 4</w:t>
      </w:r>
    </w:p>
    <w:p>
      <w:r>
        <w:t>La presente tariffa ha il valore di una direttiva senza carattere obbligatorio. Dove le circostanze speciali del caso (importanza o difficoltà speciali del processo, comportamento processuale o situazione finanziaria delle parti ecc.) lo giustifichino, il Tribunale federale può, entro i limiti della legge (art. 153 cp. 1 lett. b OG), scostarsi dalle aliquote stabilite nei numeri da 1a 3.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