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IV 189</w:t>
      </w:r>
    </w:p>
    <w:p>
      <w:r>
        <w:t>Bundesgericht (BGE), 1959-01-01, DE</w:t>
      </w:r>
    </w:p>
    <w:p>
      <w:r>
        <w:rPr>
          <w:b/>
        </w:rPr>
        <w:t xml:space="preserve">Quelle: </w:t>
      </w:r>
      <w:r>
        <w:t>https://mcp.opencaselaw.ch/entscheid/bge_BGE_85_IV_189</w:t>
      </w:r>
    </w:p>
    <w:p>
      <w:r>
        <w:t>FR: ATF 85 IV 189</w:t>
      </w:r>
    </w:p>
    <w:p>
      <w:r>
        <w:t>IT: DTF 85 IV 189</w:t>
      </w:r>
    </w:p>
    <w:p>
      <w:pPr>
        <w:pStyle w:val="Heading2"/>
      </w:pPr>
      <w:r>
        <w:t>Regeste</w:t>
      </w:r>
    </w:p>
    <w:p>
      <w:r>
        <w:t>Regeste Nichtanzeigen eines Fundes. Art. 332 StGB. - Irrige Vorstellung über den Sachverhalt. Art. 19 StGB. 1. Die Übertretung nach Art. 332 StGB kommt nur in Frage, wenn nicht das Vergehen des Art. 141 StGB (Fundunterschlagung) begangen worden ist, oder wenn der Täter mangels Strafantrages nicht wegen dieses Vergehens verfolgt werden kann (Erw. 1). 2. Der Nichtanzeige eines Fundes (Art. 332 StGB) macht sich nur schuldig, wer vorsätzlich den Fund einer verlorenen (Art. 720 ZGB) oder das Vorfinden einer gemäss Art. 725 Abs. 1 ZGB in seinen Gewahrsam gelangten Sache nicht anzeigt (in Missachtung von Art. 720 Abs. 2/725 Abs. 1 ZGB). - Nimmt der Finder irrigerweise an, die Sache sei vom Eigentümer aufgegeben worden und daher herrenlos, so liegt vorsätzliche und damit strafbare Übertretung nicht vor (Art. 19 StGB) (Erw. 2).</w:t>
      </w:r>
    </w:p>
    <w:p>
      <w:r>
        <w:t>Regeste Défaut d'avis en cas de trouvaille. Art. 332 CP. - Erreur sur les faits. Art. 19 CP. 1. La contravention prévue à l'art. 332 CP ne peut être retenue que si elle ne constitue pas le délit d'appropriation d'objets trouvés (art. 141 CP) ou si ce délit ne peut être poursuivi, faute de plainte (consid. 1). 2. Ne se rend coupable du défaut d'avis en cas de trouvaille (art. 332 CP) que celui qui omet intentionnellement d'annoncer la trouvaille d'un objet perdu (art. 720 CCS) ou parvenu en sa puissance conformément à l'art. 725 al. 1 CCS, enfreignant ainsi les art. 720 al. 2/725 al. 1 CCS. Si la personne qui a trouvé l'objet a cru, par erreur, que celui-ci avait été abandonné et était ainsi devenu une chose sans maître, la contravention n'est pas punissable, puisque non intentionnelle (art. 19 CP) (consid. 2).</w:t>
      </w:r>
    </w:p>
    <w:p>
      <w:r>
        <w:t>Regesto Omessa notificazione del rinvenimento di cose smarrite. Art. 332 CP. Errore sui fatti. Art. 19 CP. 1. La contravvenzione di cui all'art. 332 CP può essere ritenuta soltanto se non costituisce il reato d'appropriazione di cose trovate (art. 141 CP) o se questo reato non può essere perseguito per mancanza di una querela (consid. 1). 2. Si rende colpevole di omessa notificazione del rinvenimento di cose smarrite (art. 332 CP) soltanto chi omette intenzionalmente di notificare il rinvenimento di una cosa smarrita (art. 720 CC) o pervenuta in sue mani conformemente all'art. 725 cp. 1 CC, violando cosi gli art. 720 cp. 2/725 cp. 1 CC. Se colui che ha trovato la cosa ha creduto, per errore, che questa era stata abbandonata e divenuta cosi senza padrone, la contravvenzione non è punibile perchè non intenzionale (art. 19 CP) (consid. 2).</w:t>
      </w:r>
    </w:p>
    <w:p>
      <w:pPr>
        <w:pStyle w:val="Heading2"/>
      </w:pPr>
      <w:r>
        <w:t>Erwägungen</w:t>
      </w:r>
    </w:p>
    <w:p>
      <w:r>
        <w:rPr>
          <w:b/>
        </w:rPr>
        <w:t>E. 1</w:t>
      </w:r>
    </w:p>
    <w:p>
      <w:r>
        <w:t>Wie allgemein anerkannt ist, besteht zwischen dem Vergehen der Fundunterschlagung ( Art. 141 StGB ) und der Übertretung des Nichtanzeigens eines Fundes ( Art. 332 StGB ) Gesetzeskonkurrenz im Sinne der Subsidiarität. Wird ein Finder wegen jenes Vergehens bestraft, so kommt somit eine Verurteilung wegen dieser Übertretung BGE 85 IV 189 S. 192 nicht in Frage. Ob er sich im letzteren Sinne schuldig gemacht habe, ist dagegen zu prüfen, wenn er mangels Strafantrages nicht wegen Fundunterschlagung verfolgt werden kann oder von der dahingehenden Anklage freizusprechen ist, wie im vorliegenden Falle (vgl. BGE 71 IV 93 Erw. 4; THORMANN/OVERBECK, N. 6 zu Art. 141 und N. 5 zu Art. 332 StGB ).</w:t>
      </w:r>
    </w:p>
    <w:p>
      <w:r>
        <w:rPr>
          <w:b/>
        </w:rPr>
        <w:t>E. 2</w:t>
      </w:r>
    </w:p>
    <w:p>
      <w:r>
        <w:t>War somit bei Verneinung einer Fundunterschlagung zunächst offen, ob immerhin eine Übertretung im Sinne von Art. 332 StGB begangen worden sei, so hat die Vorinstanz nun aber übersehen, dass nur die vorsätzliche Unterlassung der Fundanzeige bestraft wird (vgl. THORMANN/OVERBECK, N. 4, und LOGOZ, N. 2 zu Art. 332 StGB ). Dieser Vorsatz muss den Tatbestand der Nichtanzeige eines Fundes im Sinne von Art. 720 Abs. 2 und Art. 725 Abs. 1 ZGB umfassen. Er ist nicht gegeben, wenn der Beschuldigte vermeintlich keine "verlorene" Sache vor sich hat (was dem Begriff des Fundes nach ZGB wesentlich ist, wie aus Art. 720 Abs. 1 hervorgeht; die den Bestimmungen über den Fund unterstellte "Zuführung" nach Art. 725 Abs. 1 ZGB fällt hier ausser Betracht). Verloren ist aber eine Sache nur, wenn sich der Eigentümer des Gewahrsams nicht entäussert hat in der Absicht, sein Eigentum aufzugeben (vgl. die Erläuterungen zum VE des ZGB, S. 122/23 der 2. Ausgabe: "Als verloren hat jemand eine gefundene Sache zu betrachten, wenn er vernünftigerweise annehmen muss, dass sie einen Eigentümer habe und nicht mit Absicht weggeworfen worden sei"; BGE 59 II 143 ). Nach Feststellung der Vorinstanz, die eine - innere - Tatsache betrifft und für das Bundesgericht verbindlich ist, hat nun der Beschwerdeführer gerade das angenommen, was das Vorliegen einer verlorenen Sache ausschliesst: der Jutesack samt Inhalt sei von Hunziker absichtlich vor dem Hause stehen gelassen und für die Kehrichtabfuhr bereitgestellt worden. Da er die behändigten Sachen nicht als verlorene (fremde), sondern als vom bisherigen Eigentümer aufgegebene (und damit herrenlos BGE 85 IV 189 S. 193 gewordene) betrachtete, unterliess er nicht vorsätzlich die Anzeige eines Fundes im Rechtssinne. Jene Annahme erwies sich freilich später als irrtümlich. Dieser Irrtum über den Sachverhalt ist dem Beschwerdeführer aber zugute zu halten ( Art. 19 StGB ; BGE 82 IV 202 ; über den "Willensinhalt des verbrecherischen Vorsatzes" vgl. auch GERMANN, Das Verbrechen im neuen Strafrecht, S. 28/29). Mangels subjektiven Tatbestandes ist daher die in Frage stehende Übertretung ebenso zu verneinen wie die Fundunterschlagung. Ungeprüft kann bleiben, ob sich der Beschwerdeführer trotz gutgläubiger Aneignung der Sachen erst nachträglich in strafbarer Weise gegen die Anzeigepflicht nach Art. 720 Abs. 2 ZGB vergangen haben könnte, dann nämlich, wenn er nach Kenntnis des wahren Sachverhaltes absichtlich keine Anzeige erstattet hätte. Beim tatsächlichen Ablauf der Ereignisse bestand zu nachträglicher Anzeige keine Veranlassung, da Hunziker auf anderem Wege vom Schicksal des versehentlich zurückgelassenen Schuhwerks erfahren und die Polizei benachrichtigt hatte, worauf er die Sachen denn auch zurückerhielt. Dispositiv Demnach erkennt der Kassationshof: Die Nichtigkeitsbeschwerde wird gutgeheissen, das Urteil des Amtsgerichts Luzern-Stadt vom 30. April 1959, soweit die Verurteilung wegen Nichtanzeigens eines Fundes betreffend, in Haupt- und Kostenpunkt aufgehoben und die Sache zur Freisprechung des Beschwerdeführers an das Amtsgericht Luzern-Stadt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