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139</w:t>
      </w:r>
    </w:p>
    <w:p>
      <w:r>
        <w:t>Bundesgericht (BGE), 1959-01-01, FR</w:t>
      </w:r>
    </w:p>
    <w:p>
      <w:r>
        <w:rPr>
          <w:b/>
        </w:rPr>
        <w:t xml:space="preserve">Quelle: </w:t>
      </w:r>
      <w:r>
        <w:t>https://mcp.opencaselaw.ch/entscheid/bge_BGE_85_IV_139</w:t>
      </w:r>
    </w:p>
    <w:p>
      <w:r>
        <w:t>FR: ATF 85 IV 139</w:t>
      </w:r>
    </w:p>
    <w:p>
      <w:r>
        <w:t>IT: DTF 85 IV 139</w:t>
      </w:r>
    </w:p>
    <w:p>
      <w:pPr>
        <w:pStyle w:val="Heading2"/>
      </w:pPr>
      <w:r>
        <w:t>Regeste</w:t>
      </w:r>
    </w:p>
    <w:p>
      <w:r>
        <w:t>Regeste Wirtschaftlicher Nachrichtendienst. Art. 273 Abs. 2 StGB setzt nicht voraus, dass der Täter sich die Kenntnis des verratenen Geheimnisses widerrechtlich verschafft habe.</w:t>
      </w:r>
    </w:p>
    <w:p>
      <w:r>
        <w:t>Regeste Art. 273 al. 2 CP. Services de renseignements économiques. Il n'est pas nécessaire que les secrets trahis aient été appris illicitement.</w:t>
      </w:r>
    </w:p>
    <w:p>
      <w:r>
        <w:t>Regesto Art. 273 cp. 2 CP. Spionaggio economico. Non è necessario che i segreti traditi siano stati appresi illecitamente.</w:t>
      </w:r>
    </w:p>
    <w:p>
      <w:pPr>
        <w:pStyle w:val="Heading2"/>
      </w:pPr>
      <w:r>
        <w:t>Erwägungen</w:t>
      </w:r>
    </w:p>
    <w:p>
      <w:r>
        <w:rPr>
          <w:b/>
        </w:rPr>
        <w:t>E. 2</w:t>
      </w:r>
    </w:p>
    <w:p>
      <w:r>
        <w:t>Blunier soutient que, si des secrets ne sont pas appris illicitement, leur révélation ne peut entraîner l'application de l'art. 273 CP. BGE 85 IV 139 S. 141 Le texte légal n'autorise pas cette restriction. L'art. 273 al. 1 CP a trait à l'espionnage de secrets et l'art. 273 al. 2 CP à leur trahison. Rien ne laisse supposer que le second alinéa dépendrait du premier, c'est-à-dire que seule la trahison d'un secret espionné serait punissable. Les rapports de ces dispositions ne sont pas analogues à ceux qui existent entre les deux premiers alinéas de l'art. 162 CP. Alors que l'art. 162 al. 2 reprend expressément les éléments de l'art. 162 al. 1, l'art. 273 al. 2 ne se réfère pas à l'art. 273 al. 1. D'ailleurs, on se demande pourquoi, à l'art. 273 al. 2, le législateur se serait borné à viser tacitement les secrets découverts illicitement cependant qu'à l'art. 162 al. 3, devenu l'art. 13 litt. g LCD sous réserve de quelques modifications, il avait parlé de secrets "surpris par des moyens illicites". L'interprétation proposée par Blunier ne se concilie pas davantage avec le but du législateur. Contrairement à l'art. 162 CP, l'art. 273 CP tend à protéger non pas des intérêts privés pour eux-mêmes, mais bien plutôt l'intérêt de l'Etat à ce que les personnes placées sous sa souveraineté territoriale soient à l'abri de l'espionnage et de la trahison en matière économique (RO 71 IV 218; 74 IV 104 ; arrêts non publiés Brügger du 16 novembre 1945 consid. 3 et Kuhn du 4 juin 1957 consid. 1a et 2; BALSIGER, RPS vol. 68 p. 54; LÜTHI, RPS vol. 69 p. 330). Or, que des secrets aient été appris licitement ou non, leur violation compromet également les intérêts généraux de l'Etat. Quant à la jurisprudence et à la doctrine, elles ne limitent pas non plus l'application de l'art. 273 al. 2 CP à la trahison de secrets espionnés. Peu importe, dit le Tribunal fédéral, "mit welchen Mitteln sich der Täter die Kenntnis vom Geheimnis verschafft hat" (arrêt non publié Brand et cons. du 16 février 1951 consid. I/4). Selon HAFTER, "Der Abs. II trifft daher einen Geheimnisträger, der ein Wirtschaftsgeheimnis kennt oder erfährt, ohne ausgekundschaftet zu haben" (Bes. Teil II p. 674; cf. I p. 396).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