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136</w:t>
      </w:r>
    </w:p>
    <w:p>
      <w:r>
        <w:t>Bundesgericht (BGE), 1959-01-01, DE</w:t>
      </w:r>
    </w:p>
    <w:p>
      <w:r>
        <w:rPr>
          <w:b/>
        </w:rPr>
        <w:t xml:space="preserve">Quelle: </w:t>
      </w:r>
      <w:r>
        <w:t>https://mcp.opencaselaw.ch/entscheid/bge_BGE_85_IV_136</w:t>
      </w:r>
    </w:p>
    <w:p>
      <w:r>
        <w:t>FR: ATF 85 IV 136</w:t>
      </w:r>
    </w:p>
    <w:p>
      <w:r>
        <w:t>IT: DTF 85 IV 136</w:t>
      </w:r>
    </w:p>
    <w:p>
      <w:pPr>
        <w:pStyle w:val="Heading2"/>
      </w:pPr>
      <w:r>
        <w:t>Regeste</w:t>
      </w:r>
    </w:p>
    <w:p>
      <w:r>
        <w:t>Regeste Art. 237 StGB ist auch anwendbar, wenn die Gefahr, welche nach dem normalen Gang der Dinge nahe lag, durch Zufall oder das Verhalten eines Beteiligten abgewendet wird.</w:t>
      </w:r>
    </w:p>
    <w:p>
      <w:r>
        <w:t>Regeste L'art. 237 CP est aussi applicable, lorsque le danger, imminent selon le cours normal des choses, a été écarté par un hasard ou par l'intervention d'un tiers.</w:t>
      </w:r>
    </w:p>
    <w:p>
      <w:r>
        <w:t>Regesto L'art. 237 CP è parimente applicabile quando il pericolo, imminente secondo il normale andamento delle cose, è stato scongiurato per puro caso o dall'intervento di un terzo.</w:t>
      </w:r>
    </w:p>
    <w:p>
      <w:pPr>
        <w:pStyle w:val="Heading2"/>
      </w:pPr>
      <w:r>
        <w:t>Erwägungen</w:t>
      </w:r>
    </w:p>
    <w:p>
      <w:r>
        <w:rPr>
          <w:b/>
        </w:rPr>
        <w:t>E. 1</w:t>
      </w:r>
    </w:p>
    <w:p>
      <w:r>
        <w:t>Nach Art. 237 StGB ist der öffentliche Verkehr schon dann gefährdet, wenn der Täter Leib und Leben einer einzelnen Person in Gefahr bringt, vorausgesetzt, dass die Gefährdung eine konkrete und nicht bloss abstrakte ist, d.h. dass für die Verletzung oder Tötung eines Menschen nicht nur eine entfernte Möglichkeit, sondern eine nahe und ernstliche Wahrscheinlichkeit besteht ( BGE 71 IV 100 ; BGE 73 IV 183 , 235; BGE 76 IV 124 ). Inwiefern diese Voraussetzung im vorliegenden Falle durch den Anprall des Personenwagens erfüllt worden sein soll, wie die Vorinstanz angenommen hat, ist nicht zu ersehen. Die Gefährdung, welcher der Lastwagenführer in dem Augenblick ausgesetzt war, als der Personenwagen des Beschwerdeführers mit der vorderen Stossstange des nahezu stillstehenden Lastwagens zusammenstiess, hat sich im Anprall voll ausgewirkt, und zwar mit dem Erfolg, dass weder Käppeli verletzt wurde, noch am Lastwagen Sachschaden von Bedeutung entstand. Das beweist, dass der Anprall ein leichter war und dieser nicht eine konkrete Gefahr für Leib und Leben des Lastwagenführers mit sich brachte. Ob eine konkrete Gefährdung bestanden habe, beurteilt sich indessen nicht allein nach dem, was schliesslich eingetreten ist, sondern es kommt auch darauf an, ob das Ereignis, so wie es sich abgespielt hat, nach dem normalen Gang der Dinge die Verletzung eines Menschen ernstlich BGE 85 IV 136 S. 138 wahrscheinlich gemacht habe. Die Rechtsprechung hat stets angenommen, dass Art. 237 StGB auch dann anwendbar sei, wenn der Eintritt eines schädigenden Erfolges durch Zufall oder das Verhalten eines Beteiligten verhütet worden ist ( BGE 72 IV 27 Erw. 2; BGE 73 IV 183 ; Urteil des Kassationshofes vom 12. November 1948 i.S. Hartmann). So verhielt es sich auch hier. Käppeli hat, wie sich aus den Situationsplänen ergibt, den Wagen Baumanns wahrgenommen, sobald dieser für ihn sichtbar war, und er hat noch vor Ablauf der Sekunde, die bis zur Kollision verstrich, den Lastwagen wirkungsvoll zu bremsen begonnen. Er war somit auf die Gefahr, die ihm aus dem nicht mehr vermeidbaren Zusammenstoss drohte, gefasst und hat überdies durch Verzögerung der eigenen Fahrgeschwindigkeit die Wucht des bevorstehenden Zusammenpralles herabgesetzt. Dieses Verhalten war jedoch nicht selbstverständlich. Ebensogut hätte ein Gangwechsel oder eine andere notwendige Manipulation die Aufmerksamkeit Käppelis während der kritischen Sekunde in Anspruch nehmen können, und desgleichen wäre es möglich gewesen, dass er in jenem Augenblick sein Augenmerk auf den Rechtsverkehr gerichtet hätte, aus der Überlegung, dass er gegenüber den von links kommenden Fahrzeugen den Vortritt habe. Es hing also weitgehend vom Zufall und von der raschen Reaktion des Lastwagenführers ab, dass er noch vor dem Zusammenstoss den mit übersetzter Geschwindigkeit in die Kreuzung fahrenden Wagen Baumanns bemerkte und den Lauf seines Fahrzeuges abzubremsen vermochte. Unter solchen Umständen war die Möglichkeit, dass der Zusammenstoss den Lastwagenführer völlig überraschen und einen stärkeren Schlag als den eingetretenen hervorrufen konnte, ernsthaft in die Nähe gerückt. Die Gefahr einer Verletzung war nicht mehr bloss eine abstrakte, sondern eine konkrete. Denn wenn der Anprall stärker gewesen und für Käppeli unerwartet gekommen wäre, hätte dieser leicht nach vorne geworfen werden und sich dabei an einem vorstehenden Fahrzeugteil BGE 85 IV 136 S. 139 oder an einer Kante eine Verletzung zuziehen können. Dass die Gefährdung eine erhebliche gewesen wäre, setzt Art. 237 StGB nicht voraus.</w:t>
      </w:r>
    </w:p>
    <w:p>
      <w:r>
        <w:rPr>
          <w:b/>
        </w:rPr>
        <w:t>E. 2</w:t>
      </w:r>
    </w:p>
    <w:p>
      <w:r>
        <w:t>Den subjektiven Tatbestand bestreitet der Beschwerdeführer mit Grund nicht. Er ist daher zu Recht nach Art. 237 Ziff. 2 StGB bestraft worden. Die Frage, ob er dann, wenn dieser Tatbestand nicht erfüllt wäre, zufolge Verjährung nicht mehr wegen Widerhandlung gegen das MFG bestraft werden könnte und demgemäss straffrei bleiben müsste, stellt sich somit nicht.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