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603</w:t>
      </w:r>
    </w:p>
    <w:p>
      <w:r>
        <w:t>Bundesgericht (BGE), 1959-01-01, DE</w:t>
      </w:r>
    </w:p>
    <w:p>
      <w:r>
        <w:rPr>
          <w:b/>
        </w:rPr>
        <w:t xml:space="preserve">Quelle: </w:t>
      </w:r>
      <w:r>
        <w:t>https://mcp.opencaselaw.ch/entscheid/bge_BGE_85_II_603</w:t>
      </w:r>
    </w:p>
    <w:p>
      <w:r>
        <w:t>FR: ATF 85 II 603</w:t>
      </w:r>
    </w:p>
    <w:p>
      <w:r>
        <w:t>IT: DTF 85 II 603</w:t>
      </w:r>
    </w:p>
    <w:p>
      <w:pPr>
        <w:pStyle w:val="Heading2"/>
      </w:pPr>
      <w:r>
        <w:t>Regeste</w:t>
      </w:r>
    </w:p>
    <w:p>
      <w:r>
        <w:t>Regeste Anfechtung eines Erbteilungsvertrages (Art. 634/638 ZGB). Zur Geltendmachung der Unverbindlichkeit eines solchen Vertrages wegen Willensmängel ist ein der Erbengemeinschaft nicht angehörender Zessionar eines Erbanteils nicht befugt, namentlich auch nicht zur gerichtlichen Auseinandersetzung hierüber mit den andern Erben. Art. 609 Abs. 1 und Art. 635 Abs. 2 ZGB, Art. 23 ff. OR (Erw. 2). Herabsetzungsklage (Art. 522 ff. ZGB). Klagerecht eines solchen aussenstehenden Zessionars? (Erw. 3).</w:t>
      </w:r>
    </w:p>
    <w:p>
      <w:r>
        <w:t>Regeste Rescision du partage (art. 634/638 CC). Lorsqu'il ne fait pas partie de la communauté successorale, le cessionnaire d'une part héréditaire ne peut prétendre que le partage n'oblige pas en raison d'un vice de la volonté; il n'a pas qualité notamment pour en découdre devant le juge avec les autres héritiers. Art. 609 al. 1 et 635 al. 2 CC, art. 23 sv. CO (cons. 2). Action en réduction (art. 522 sv. CC). Un tel cessionnaire peut-il exercer cette action? (cons. 3).</w:t>
      </w:r>
    </w:p>
    <w:p>
      <w:r>
        <w:t>Regesto Rescissione della divisione (art. 634/638 CC). Il cessionario di una quota ereditaria, che non fa parte della comunione successoria, non può contestare che l'atto di divisione non è vincolante perchè viziato da errore di volontà; in particolare, egli non ha veste per intervenire a tale riguardo con gli altri eredi davanti al giudice. Art. 609 cp. 1 e 635 cp. 2 CC, art. 23 sgg. CO (consid. 2). Azione di riduzione (art. 522 sgg. CC). Può un siffatto cessionario promuovere quest'azione? (consid. 3).</w:t>
      </w:r>
    </w:p>
    <w:p>
      <w:pPr>
        <w:pStyle w:val="Heading2"/>
      </w:pPr>
      <w:r>
        <w:t>Erwägungen</w:t>
      </w:r>
    </w:p>
    <w:p>
      <w:r>
        <w:rPr>
          <w:b/>
        </w:rPr>
        <w:t>E. 1</w:t>
      </w:r>
    </w:p>
    <w:p>
      <w:r>
        <w:t>(Rechtsbegehren).</w:t>
      </w:r>
    </w:p>
    <w:p>
      <w:r>
        <w:rPr>
          <w:b/>
        </w:rPr>
        <w:t>E. 2</w:t>
      </w:r>
    </w:p>
    <w:p>
      <w:r>
        <w:t>Ob die Aktivlegitimation der Klägerin aus dem vom Obergericht aus ihren eigenen Vorbringen abgeleiteten BGE 85 II 603 S. 606 Grund ohne weiteres verneint werden durfte, kann dahingestellt bleiben. Jedenfalls steht der Zessionarin des Karl H. das Klagerecht deshalb nicht zu, weil ihr als Nichterbin das Recht zur gerichtlichen Verfechtung der in Frage stehenden Ansprüche überhaupt nicht durch Abtretung seitens eines Erben übertragen werden konnte. Ein nicht zur Erbengemeinschaft gehörender Dritter, der sich einen Erbanteil abtreten lässt, wird damit nicht zum Miterben. Er erwirbt kein Recht auf Mitwirkung bei der Teilung, sondern nur einen Anspruch auf das Treffnis, das dem Abtretenden aus der Teilung zugewiesen wird ( Art. 635 Abs. 2 ZGB ). Zu seinem Schutze kann er lediglich die Mitwirkung der nach kantonalem Rechte zuständigen Behörde bei der Teilung gemäss Art. 609 Abs. 1 ZGB verlangen. Dieser Behörde liegt es alsdann ob, für die Zuweisung des dem betreffenden Erben wirklich gebührenden Erbbetreffnisses zu sorgen. Es ist allgemein anerkannt, dass als "Gläubiger" im Sinne des Art. 609 Abs. 1 ZGB auch der Zessionar eines Erbanteils zu gelten hat, so dass Art. 635 Abs. 2 ZGB durch jene andere Norm ergänzt wird (vgl. TUOR, N. 9, und ESCHER, N. 10, zu Art. 609 ZGB ; CANOVA, Die amtliche Mitwirkung bei der Erbteilung, S. 30 ff.). Der aussenstehende Erwerber eines Erbanteils ist demgemäss auch nicht befugt, einen angeblich darin enthaltenen, von den Miterben bestrittenen Anspruch gegen sie gerichtlich geltend zu machen. Er ist darauf angewiesen, die zuständige Behörde um Einleitung und Durchführung gerichtlicher Massnahmen zu ersuchen. Ob solches Vorgehen gerechtfertigt sei, hat die Behörde nach ihrem Ermessen, unter Vorbehalt allfälliger Rechtsmittel, zu entscheiden. Entspricht sie dem Gesuche, so erfolgt die Prozessführung auf Rechnung und Gefahr des Gesuchstellers ( BGE 63 II 231 ff.; vgl. auch BGE 71 III 99 ff., BGE 80 III 117 ff.). Insbesondere kann ein Aussenseiter sich nicht von einem Erben ermächtigen lassen, in eigenem Namen alle zur Verwirklichung eines Rechtes erforderlichen Handlungen vorzunehmen. Das wäre eine von Art. 635 Abs. 2 ZGB im BGE 85 II 603 S. 607 Interesse der ganzen Familie, also namentlich der andern Erben, verpönte Einmischung. Die Abtretungserklärung ist ungültig, soweit sie sich nicht an diese gesetzlichen Schranken hält. Das Gesagte gilt nun auch für die Anfechtung eines bereits abgeschlossenen (und, wie hier, vollzogenen) Erbteilungsvertrages nach Art. 638 ZGB . Über dessen Verbindlichkeit haben sich die andern Erben mit einem aussenstehenden Anteilserwerber ebensowenig auseinanderzusetzen wie über die Teilung selbst. Die Erklärung, sich wegen Willensmängel nicht an den "Verteilungs-Vertrag" und die anschliessenden Teilungsabreden halten zu wollen, hat zwar neben der Klägerin auch der Abtretende abgegeben. Es lässt sich also der Klägerin nicht etwa entgegenhalten, bereits jene Erklärung sei nicht von dem nach Art. 23 ff. OR hiezu einzig befugten Vertragspartner ausgegangen (vgl. BGE 84 II 367 /68). Die gerichtliche Geltendmachung der Unverbindlichkeit, um eine neue Teilung herbeizuführen und die Beklagten zur Rückerstattung eines Teils der gemäss den angefochtenen Vereinbarungen bezogenen Treffnisse zu verpflichten, steht jedoch nach den dargelegten erbrechtlichen Grundsätzen ebenfalls nur dem abtretenden Erben selbst oder aber der vom Erwerber seines Anteils angerufenen Behörde zu. Eine selbständige Klage der Zessionarin ist somit nicht zulässig.</w:t>
      </w:r>
    </w:p>
    <w:p>
      <w:r>
        <w:rPr>
          <w:b/>
        </w:rPr>
        <w:t>E. 3</w:t>
      </w:r>
    </w:p>
    <w:p>
      <w:r>
        <w:t>So verhält es sich nicht nur mit der eigentlichen Anfechtung der Teilungsabreden gemäss dem Begehren 3, sondern auch mit den im Begehren 1 enthaltenen Anträgen auf (neue) Feststellung des Nachlasses und (den Teilungsabreden zuwiderlaufende) Ausscheidung der erwähnten Liegenschaft aus diesem Nachlasse. Das gleiche Schicksal trifft den ebenfalls im Begehren 1 enthaltenen Antrag auf Einbeziehung einer Forderung der Erblasserin von Fr. 20'000.-- gegen den Beklagten Nr. 4. Dabei macht es für die Klageberechtigung keinen Unterschied aus, ob man es mit einem aus Versehen bisher nicht berücksichtigten Nachlassgut zu tun habe (sog. zusätzliche oder Nach- BGE 85 II 603 S. 608 Teilung), oder ob es sich um eine an und für sich durch schenkungsweisen Erlass erloschene Forderung der Erblasserin handle, die lediglich "gemäss Art. 527 Ziffer 3 in den Nachlass einzubringen" wäre, laut S. 8 der Klageschrift. Denn auch im letztern Fall konnte das Klagerecht nicht durch Einzelnachfolge, eben durch Abtretung, auf die der Erbengemeinschaft nicht angehörende Klägerin übertragen werden (vgl. ESCHER, 3. Auflage, N. 5 der Einleitung zu den Art. 522-533 ZGB ). Bei dieser Sachlage kann offen bleiben, ob nicht durch den "Verteilungs-Vertrag" stillschweigend auf jegliche Herabsetzungsansprüche unter den Miterben verzichtet wurde, ganz abgesehen davon, dass offenbar nach allgemeiner Auffassung der Beteiligten keiner der Erben weniger als den ihm zukommenden Pflichtteil erhielt. Was das besondere Herabsetzungsbegehren 2 und das daran anknüpfende Leistungsbegehren 4 betrifft, so ist übrigens nicht einzusehen, worin die "im Testament ... zugunsten der vier Beklagten getroffenen Zuwendungen" bestehen sollen. Die von der Testatorin verfügte Zuweisung in Bruchteilen entspricht genau den gesetzlichen Erbteilen des Ehegatten und der Geschwister. Der Nutzniessungsanspruch des Ehegatten nach Art. 462 Abs. 2 ZGB geniesst keinen Pflichtteilsschutz ( Art. 471 Ziff. 4 ZGB ). Die ferner im Testament enthaltenen güterrechtlichen Feststellungen aber haben keinen Verfügungscharakter. Übrigens ist die in Frage stehende Liegenschaft zum Vermögen der Erblasserin gerechnet und keineswegs ihm entfremdet worden. Nach den eigenen Vorbringen der Klägerin kann in Wahrheit von einer der Herabsetzung unterliegenden Verfügung der Erblasserin über diese Liegenschaft nicht die Rede sein. Wenn, wie behauptet wird, Karl H. bei der Abrechnung über den Erlös, trotz der ihm eingeräumten Vorzugsbehandlung, wegen angeblicher fiduziarischer Vereinbarungen unter den Ehegatten zu kurz gekommen sein sollte, so kann darin nur allenfalls eine Vermögensentäusserung seinerseits liegen, BGE 85 II 603 S. 609 die im gegenwärtigen Erbfall unmöglich Gegenstand einer Herabsetzungsklage bilden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