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II 580</w:t>
      </w:r>
    </w:p>
    <w:p>
      <w:r>
        <w:t>Bundesgericht (BGE), 1959-01-01, DE</w:t>
      </w:r>
    </w:p>
    <w:p>
      <w:r>
        <w:rPr>
          <w:b/>
        </w:rPr>
        <w:t xml:space="preserve">Quelle: </w:t>
      </w:r>
      <w:r>
        <w:t>https://mcp.opencaselaw.ch/entscheid/bge_BGE_85_II_580</w:t>
      </w:r>
    </w:p>
    <w:p>
      <w:r>
        <w:t>FR: ATF 85 II 580</w:t>
      </w:r>
    </w:p>
    <w:p>
      <w:r>
        <w:t>IT: DTF 85 II 580</w:t>
      </w:r>
    </w:p>
    <w:p>
      <w:pPr>
        <w:pStyle w:val="Heading2"/>
      </w:pPr>
      <w:r>
        <w:t>Regeste</w:t>
      </w:r>
    </w:p>
    <w:p>
      <w:r>
        <w:t>Regeste Eine neben der Berufung eingereichte staatsrechtliche Beschwerde wegen willkürlicher Beweiswürdigung ist grundsätzlich zuerst zu beurteilen. Erheben sich aber Zweifel darüber, ob die mit der Beschwerde angefochtene tatsächliche Feststellung wesentlichsei, so kann darüber vorweg im Berufungsverfahren entschieden werden. Art. 57 Abs. 5 OG (Erw. 2 und 5). Unter welchen Voraussetzungen wird der Garagist, der den Wagen im Vertrauen auf betrügerische Angaben dem Kunden ohne Bezahlung seiner Reparaturrechnung herausgab, wieder retentionsberechtigt, wenn der Kunde ihm den Wagen zurückbringt? Art. 895 ff. ZGB (Erw. 3). Gehen die Rechte des Dritten, der den Wagen dem Kunden unter Eigentumsvorbehalt verkauft hatte, dem Retentionsrecht des Garagisten vor, wenn dieser beim Empfang des Wagens den Eigentumsvorbehalt kannte? Art. 895 Abs. 3 in Verbindung mit Art. 714 und 933 ff. ZGB (Erw. 4).</w:t>
      </w:r>
    </w:p>
    <w:p>
      <w:r>
        <w:t>Regeste Lorsqu'une partie forme un recours en réforme et un recours de droit public pour appréciation arbitraire des preuves, c'est sur celui-ci qu'il faut en principe statuer en premier lieu. Cependant, s'il est douteux que la constatation de fait critiquée dans le recours de droit public soit essentielle, on peut juger d'abord cette question dans la procédure de réforme. Art. 57 al. 5 OJ (consid. 2 et 5). Garagiste qui, se fiant à des déclarations trompeuses de son client, lui restitue une voiture sans exiger d'abord le paiement des réparations effectuées. Acquiert-il de nouveau un droit de rétention lorsque le client lui ramène la voiture? Art. 895 et suiv. CC (consid. 3). Les droits du tiers qui a vendu la voiture avec réserve de propriété priment-ils le droit de rétention du garagiste, lorsque celui-ci connaissait la réserve de propriété au moment où il a reçu la voiture? Art. 895 al. 3 en corrélation avec les art. 714 et 933 et suiv. CC (consid. 4).</w:t>
      </w:r>
    </w:p>
    <w:p>
      <w:r>
        <w:t>Regesto Un ricorso di diritto pubblico per apprezzamento arrbitrario delle prove, presentato oltre al ricorso per riforma, dev'essere di massima deciso per primo. Tuttavia, se è dubbio che l'accertamento di fatto criticato nel ricorso di diritto pubblico sia essenziale, la relativa questione può essere dapprima giudicata nella procedura di riforma. Art. 57 cp. 5 OG (consid. 2 e 5). Garagista che, fidandosi di false dichiarazioni del cliente, gli restituisce una vettura senza esigere dapprima il pagamento delle riparazioni eseguite. Acquisisce di nuovo un diritto di ritenzione se il cliente gli riconduce la vettura? Art. 895 sgg. CC (consid. 3). Il diritto del terzo che ha venduto la vettura con riserva di proprietà prevale sul diritto di ritenzione del garagista, se questi conosceva la riserva di proprietà nel momento in cui ha ricevuto la vettura? Art. 895 cp. 3 in correlazione con gli art. 714 e 933 sgg. CC (consid. 4).</w:t>
      </w:r>
    </w:p>
    <w:p>
      <w:pPr>
        <w:pStyle w:val="Heading2"/>
      </w:pPr>
      <w:r>
        <w:t>Erwägungen</w:t>
      </w:r>
    </w:p>
    <w:p>
      <w:r>
        <w:rPr>
          <w:b/>
        </w:rPr>
        <w:t>E. 1</w:t>
      </w:r>
    </w:p>
    <w:p>
      <w:r>
        <w:t>(Streitwert).</w:t>
      </w:r>
    </w:p>
    <w:p>
      <w:r>
        <w:rPr>
          <w:b/>
        </w:rPr>
        <w:t>E. 2</w:t>
      </w:r>
    </w:p>
    <w:p>
      <w:r>
        <w:t>Das kantonsgerichtliche Urteil beruht unter anderem auf der tatbeständlichen Annahme, der Beklagte habe beim Rückempfang des Wagens am 11. Februar 1957 den zu Gunsten der Klägerin bestehenden Eigentumsvorbehalt noch nicht gekannt. Gegen diese Festellung richtet sich die staatsrechtliche Beschwerde mit der Rüge einer willkürlichen Beweiswürdigung. Grundsätzlich wäre die staatsrechtliche Beschwerde zuerst zu beurteilen. Bei ihrer Prüfung erhob sich jedoch vorweg die Frage, ob jene Feststellung für die Entscheidung des Rechtsstreites von wesentlicher Bedeutung sei, oder ob nicht selbst bei gegenteiliger Feststellung ein dem Eigentumsvorbehalt der Klägerin vorgehendes Retentionsrecht des Beklagten anerkannt werden müsse. Da das angefochtene Urteil der Berufung unterliegt und dieses Rechtsmittel denn auch in gültiger Weise eingelegt worden ist, erschien es als angezeigt, die soeben formulierte, vom materiellen Recht beherrschte Frage vorweg im Berufungsverfahren abzuklären. Sollte sie dahin zu beantworten sein, dass es auf die BGE 85 II 580 S. 586 Kenntnis des Eigentumsvorbehalts beim Rückempfang des Wagens entscheidend ankomme, so wäre dem staatsrechtlichen Verfahren wiederum der Vortritt einzuräumen. Sollte sich dagegen als unerheblich erweisen, ob der Beklagte, als Schütz ihm den Wagen zurückbrachte, um den zu Gunsten der Klägerin bestehenden Eigentumsvorbehalt wusste, so würde die staatsrechtliche Beschwerde des rechtlichen Interesses ermangeln und wäre aus diesem Grund ohne weiteres abzuweisen, gleichgültig ob die mit ihr erhobenen Rügen an und für sich begründet gewesen wären; damit würde der Weg zur abschliessenden materiellen Beurteilung der Berufung frei.</w:t>
      </w:r>
    </w:p>
    <w:p>
      <w:r>
        <w:rPr>
          <w:b/>
        </w:rPr>
        <w:t>E. 3</w:t>
      </w:r>
    </w:p>
    <w:p>
      <w:r>
        <w:t>Mit der Herausgabe des Wagens an Schütz verlor der Beklagte das ihm nach Art. 895 ff. zugestandene Retentionsrecht. Dieses ist eben an den Besitz gebunden und geht daher mit dem Verlust des Besitzes unter. So verhält es sich nach überwiegender Lehrmeinung selbst bei unfreiwilligem Besitzesvelust, allerdings mit Vorbehalt der Besitzesschutzklage auf Wiedereinräumung des Besitzes. Zu dieser Frage (worüber vgl. OFTINGER, N. 177 zu Art. 895 ZGB ) ist hier nicht Stellung zu nehmen. Hat doch der Beklagte den Wagen freiwillig, wenn auch verleitet durch betrügerische Angaben, an Schütz herausgegeben, womit der Verlust des Retentionsrechtes unvermeidlich verbunden war. Dem Kantonsgericht ist aber darin beizustimmen, dass dieses Recht durch Wiedereinräumung des Gewahrsams neu begründet werden konnte (vgl. LEEMANN, N. 6 und 7, und OFTINGER, N. 176 ff., zu Art. 895 ZGB ; O. BRANDER, Das Retentionsrecht nach schweizerischen Zivilrecht, S. 8 und 49/50). Hiefür war allerdings notwendig, dass die Voraussetzungen von Art. 895 ZGB noch oder neuerdings erfüllt waren (vgl. OFTINGER, a.a.O. N. 179). Ferner durfte nicht etwa nunmehr ein Ausschlussgrund nach Art. 896 ZGB vorliegen, wie es der Fall gewesen wäre, wenn der Beklagte den Wagen am 11. Februar 1957 zu einem die Retention für die alte Verbindlichkeit nicht zulassenden besondern BGE 85 II 580 S. 587 Zweck erhalten hätte. Indessen übergab ihm Schütz damals den Wagen gerade, um ihm den Retentionsbesitz für die Forderung aus der Instandstellung des Wagens wieder zu verschaffen, was sein Anwalt auch der Klägerin kundgetan hatte. Der Beklagte kann es nicht anders verstanden haben, obwohl er dem Überbringer Schütz den Empfang des Wagens "an Zahlungsstatt" bescheinigte. Gemeint war: zur Sicherstellung der ausstehenden Zahlung. Demgemäss hat der Beklagte ja dann auf Grund des Retentionsrechtes Betreibung auf Pfandverwertung angehoben und niemals das Eigentum am Wagen für sich beansprucht. Fraglich ist unter diesen Umständen nur noch, welche Bedeutung dem zu Gunsten der Klägerin bestehenden Eigentumsvorbehalt zukomme: ob dieses Drittmannsrecht, das pfandrechtsähnliche Sicherheit gibt, dem Retentionsrecht des Beklagten vorgehe, oder ob das Retentionsrecht gemäss Art. 895 Abs. 3 ZGB ungeachtet des Eigentumsvorbehaltes, also den Rechten der Klägerin vorgehend, zur Geltung zu kommen habe.</w:t>
      </w:r>
    </w:p>
    <w:p>
      <w:r>
        <w:rPr>
          <w:b/>
        </w:rPr>
        <w:t>E. 4</w:t>
      </w:r>
    </w:p>
    <w:p>
      <w:r>
        <w:t>Dem Retentionsrecht des Beklagten gebührt jedenfalls dann ohne Zweifel der Vorrang, wenn er, als der Wagen am 11. Februar 1957 wieder in seinen Gewahrsam gelangte, Schütz immer noch, und zwar in guten Treuen ( Art. 3 ZGB ), für den Eigentümer hielt, wie es das Kantonsgericht annimmt, eine Feststellung, die jedoch, wie erwähnt, mit staatsrechtlicher Beschwerde als auf willkürlicher Beweiswürdigung beruhend angefochten ist. Eben deshalb ist noch die weitere Frage zu prüfen, ob Schütz nicht überhaupt, trotz dem von der Klägerin vorbehaltenen Eigentum, befugt gewesen war, den Wagen dem Beklagten zur Instandstellung zu übergeben, und ob er nicht ebenfalls befugterweise den durch Betrug gebrochenen Gewahrsam ungeachtet des Eigentumsvorbehaltes wiederherstellen durfte; eventuell, falls dies zu verneinen wäre, ob nicht der Beklagte dennoch selbst bei Kenntnis des Eigentumsvorbehaltes der Klägerin den Überbringer Schütz am 11. Februar 1957 als zur Wiederherstellung BGE 85 II 580 S. 588 des Gewahrsams befugt ansehen durfte und somit kraft guten Glaubens gemäss Art. 895 Abs. 3 ZGB das Retentionsrecht auf alle Fälle wieder erwarb. a) Die Sache, an der sich der Veräusserer das Eigentum vorbehalten hat, ist dem Erwerber einstweilen (solange der Vorbehalt zu Recht besteht) nur anvertraut. Es ist ihm nicht erlaubt, wie ein Eigentümer darüber zu verfügen, insbesondere sie zu veräussern oder für eine beliebige Forderung zu verpfänden. Durch unerlaubte Verfügung über die Sache macht er sich der (nach Art. 140 StGB strafbaren) Veruntreuung schuldig (vgl. BGE 75 IV 105 , BGE 82 IV 182 ; SIMONIUS/SCHERRER, N. 93 zu Art. 715/16 ZGB). Dagegen stehen ihm Gebrauch und Nutzung der Sache zu, und da Nutzen und Gefahr wie bei einem ohne Eigentumsvorbehalt abgeschlossenen Kauf ordentlicherweise gemäss Art. 185 Abs. 1 OR mit dem Vertragsabschluss auf ihn übergehen (vgl. LEEMANN, N. 56 zu Art. 715 ZGB ), hat er auch für den Unterhalt der Sache zu sorgen und sie bei Beschädigung wieder instand zu stellen oder auf eigene Kosten instand stellen zu lassen. Davon geht auch die Klägerin aus, die dem Käufer Fr. 500.-- zum Abschluss einer Kaskoversicherung übergab (was er unterliess) und die Bezahlung der Rechnung der vom Beklagten mit einem Teil der Instandstellungsarbeiten betrauten Métalléger SA ablehnte, weil diese Verpflichtung sie nicht berühre, sondern den Käufer allein angehe. Sie erklärte dabei sogar, der Wagen gehöre ihr nicht mehr; Schütz, der ihn gekauft habe, sei nun der Eigentümer (oben lit. C der Tatsachen). Darin lag freilich kein Verzicht auf den Eigentumsvorbehalt. Es ist aber für die eigene Auffassung der Klägerin bezeichnend, dass sie gar nicht daran dachte, gegenüber den mit der Reparatur befassten Firmen etwas aus dem Eigentumsvorbehalt herzuleiten, diesen vielmehr verschwieg und die dem Käufer (gleichwie beim Fehlen eines Eigentumsvorbehalts) zukommende selbständige Stellung hinsichtlich der ordentlichen Bewirtschaftung des Wagens unterstrich. Im übrigen ist auch BGE 85 II 580 S. 589 nicht etwa die Rede davon, die in Frage stehende Instandstellung habe sich nicht gelohnt und wäre besser unterblieben. Nach alldem war Schütz befugt, wenn nicht sogar im Interesse der Klägerin verpflichtet, den Wagen, wie es geschehen ist, instand stellen zu lassen und zu diesem Zwecke dem Beklagten zu übergeben. War die Klägerin zwar nicht mitverpflichtet, und erwuchs dem Beklagten daher gegen sie keine Forderung, so erhielt er doch das mit dem Gewahrsam verbundene Retentionsrecht. Schütz war eben auch zu Massnahmen befugt, die ein gesetzliches Retentionsrecht seines Gläubigers am Wagen enstehen liessen. Indem er diesen dem Beklagten zur Reparatur übergab, hat er ihn keineswegs veruntreut. b) Ebenso lag es im Rahmen seiner Befugnisse, den durch Betrug gebrochenen Gewahrsam des Beklagten wiederherzustellen. Die Abwicklung des Schuldverhältnisses zwischen ihm und dem Beklagten blieb seine Sache. Dazu gehörte auch die Wiederherstellung des Retentionsbesitzes, den der Beklagte verleitet durch seine betrügerischen Angaben aufgegeben hatte. Er war am 11. Februar 1957 in der Lage, den Wagen dem Beklagten zurückzubringen, da die Klägerin ihn ihm belassen und den Kauf nicht etwa im Sinne von Art. 716 ZGB rückgängig gemacht hatte. Der Klägerin stand nicht zu, dieser Wiederherstellung des Besitzstandes - einer rechtmässigen Handlung des Schuldners, wozu er gegenüber dem Beklagten mindestens moralisch verpflichtet war - zu widersprechen, um den durch die Instandstellung des Wagens geschaffenen Mehrwert ohne Rücksicht auf das normalerweise dem mit der Reparatur betrauten Gläubiger zustehende Vorzugsrecht für sich in Anspruch zu nehmen. Sie hinderte denn auch die vom Käufer getroffene Wiederherstellungsmassnahme nicht, sondern verneint nur deren Rechtswirksamkeit; wie dargetan, zu Unrecht. Allerdings unterliegt dem Eigentumsvorbehalt nicht, wie die Vorinstanz annimmt, nur das "Wrack" des Wagens in dessen BGE 85 II 580 S. 590 Zustand nach dem Verkehrsunfall. Der Eigentumsvorbehalt ergreift den Wagen samt seinen Bestandteilen, wie er heute nach der Instandstellung vorhanden ist. Allein das Retentionsrecht des Beklagten geht, da die gesetzlichen Voraussetzungen nach Art. 895 ff. ZGB auch am 11. Februar 1957 vorlagen und der Schuldner zur Rückverbringung des Wagens in die Garage des Beklagten berechtigt war, den Rechten der Klägerin vor. c) Bei dieser Sachlage braucht sich der Beklagte nicht auf gutgläubige Annahme einer in Wirklichkeit nicht bestehenden Berechtigung des Schuldners zur Übergabe des Wagens zu berufen. Falls es an einer solchen Berechtigung gefehlt hätte, wäre aber der gute Glaube des Beklagten in der Tat zu bejahen, auch wenn ihm der zu Gunsten der Klägerin bestehende Eigentumsvorbehalt beim Wiederempfang des Wagens am 11. Februar 1957 bekannt gewesen sein sollte. Der Wortlaut von Art. 895 Abs. 3 ZGB könnte zwar, für sich allein betrachtet, zur Annahme verleiten, der gute Glaube habe sich auf das Eigentumsrecht des Schuldners zu beziehen; er sei also nicht gegeben, wenn dem Gläubiger das Eigentum eines Dritten bekannt ist. Indessen spricht Art. 895 Abs. 3 ZGB einfach von gutgläubigem Empfang der Sache. Diese Vorschrift ist nach zutreffender und denn auch allgemein anerkannter Auffassung im Zusammenhang mit den Art. 714 und 933 ff. ZGB dahin zu verstehen, der Gläubiger müsse beim Empfang der einem Dritten gehörenden Sache den Schuldner in gutem Glauben als berechtigt betrachtet haben, sie ihm zu dem vereinbarten Zweck auszuhändigen. Das kann nun, wie sich gerade aus dem oben (Erw. 4, a und b) Ausgeführten ergibt, mitunter auch dann zutreffen, wenn der Schuldner nicht Eigentümer der Sache ist. Was insbesondere Sachen betrifft, die der Eigentümer einem andern anvertraut hatte, so ist nach Art. 933 ZGB derjenige, der eine solche Sache vom Besitzer "in gutem Glauben" zu Eigentum oder zu einem beschränkten dinglichen Recht übertragen erhält, BGE 85 II 580 S. 591 in seinem Erwerb auch dann zu schützen, wenn sie dem Veräusserer "ohne jede Ermächtigung zur Übertragung" anvertraut worden waren. Daraus folgt, dass als gutgläubig auch ein Erwerber zu gelten hat, der den veräussernden Besitzer zwar nicht als Eigentümer, aber als aus andern Gründen zur Verfügung berechtigt ansieht und ansehen darf (vgl. HAAB/SIMONIUS, N. 55 zu Art. 714 ZGB ; so denn auch die ständige Rechtsprechung, vgl. statt vieler BGE 65 II 64 ). Auch der Besitz unter Eigentumsvorbehalt ist anvertrauter Besitz im Sinne von Art. 933 ZGB (vgl. OSTERTAG, N. 6 zu Art. 933 ZGB ; J. O. RAUCH, Der Eigentumsvorbehalt, S. 98). Für die Entstehung des Retentionsrechtes nach Art. 895 ZGB wird gleichwie für die Begründung dinglicher Rechte kraft Rechtsgeschäftes zutreffenderweise angenommen, Kenntnis vom Eigentumsrecht eines Dritten schliesse den guten Glauben des die Sache empfangenden Gläubigers nicht aus. "Bösgläubig ist er erst, wenn er weiss oder wissen muss, dass ihm der Schuldner die Sache nicht hätte übergeben dürfen" (vgl. HOMBERGER/MARTI, Schweiz. jur. Kartothek Nr. 673, III, 2; so denn auch BGE 38 II 202 Erw. 4 betreffend Art. 227 aoR, jedoch bereits mit Hinweis auf Art. 895 Abs. 3 ZGB , vgl. ferner ein Urteil des bernischen Appellationshofes in ZbJV 70 S. 433 ff.; WIELAND, N. 5, c, LEEMANN, N. 14, und OFTINGER, N. 134 und 134 a zu Art. 895 ZGB ; F. A. STAEHELIN, Probleme aus dem Gebiete des Eigentumsvorbehalts, S. 85 und 90, mit Fussnoten 5 und 17). In der Übergabe eines Wagens zur Instandstellung liegt keine eigentliche Verfügung über die Sache. Es handelt sich um eine Massnahme der Vermögensverwaltung, die freilich ein gesetzliches Retentionsrecht des mit der Instandstellung betrauten Gläubigers nach sich zieht. Zu einer solchen Massnahme darf ein Garagist den Wagenbesitzer für berechtigt halten, jedenfalls wenn dieser den Wagen gekauft und nicht etwa bloss für eine einzelne Fahrt entlehnt hat, ganz gleichgültig ob der Kaufpreis völlig oder nur zum Teil BGE 85 II 580 S. 592 bezahlt ist und ob noch ein Eigentumsvorbehalt des Verkäufers besteht, wie es bei einer grossen Anzahl der im Verkehr befindlichen Motorfahrzeuge zutrifft.</w:t>
      </w:r>
    </w:p>
    <w:p>
      <w:r>
        <w:rPr>
          <w:b/>
        </w:rPr>
        <w:t>E. 5</w:t>
      </w:r>
    </w:p>
    <w:p>
      <w:r>
        <w:t>Ist somit das Retentionsrecht des Beklagten zu schützen, auch wenn ihm beim Rückempfang des Wagens das von der Klägerin beim Verkauf an Schütz vorbehaltene Eigentum bekannt gewesen sein sollte, so fällt die staatsrechtliche Beschwerde - die bei diesem Ergebnis der materiellrechtlichen Prüfung mangels Interesses ohne weiteres abzuweisen ist, gemäss Erw. 2 - nicht weiter in Betracht. Die Berufung ist auch ihrerseits abzuweisen. Die Höhe der nach dem vorinstanzlichen Urteil durch das Retentionsrecht gesicherten Forderungen des Beklagten und Widerklägers ist vor Bundesgericht nicht beanstandet worden.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