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554</w:t>
      </w:r>
    </w:p>
    <w:p>
      <w:r>
        <w:t>Bundesgericht (BGE), 1959-01-01, DE</w:t>
      </w:r>
    </w:p>
    <w:p>
      <w:r>
        <w:rPr>
          <w:b/>
        </w:rPr>
        <w:t xml:space="preserve">Quelle: </w:t>
      </w:r>
      <w:r>
        <w:t>https://mcp.opencaselaw.ch/entscheid/bge_BGE_85_II_554</w:t>
      </w:r>
    </w:p>
    <w:p>
      <w:r>
        <w:t>FR: ATF 85 II 554</w:t>
      </w:r>
    </w:p>
    <w:p>
      <w:r>
        <w:t>IT: DTF 85 II 554</w:t>
      </w:r>
    </w:p>
    <w:p>
      <w:pPr>
        <w:pStyle w:val="Heading2"/>
      </w:pPr>
      <w:r>
        <w:t>Regeste</w:t>
      </w:r>
    </w:p>
    <w:p>
      <w:r>
        <w:t>Regeste Testamentarische Teilungsvorschriften (Art. 608 ZGB). Der Erblasser kann sein Heimwesen in bedingtem Sinne (Art. 482 ZGB) zwei Söhnen alternativ mit bestimmter Rangfolge zuweisen. Ist es mit Art. 604 ZGB vereinbar, im Testament eine Schwebezeit vorzusehen, während deren Dauer das Heimwesen im gemeinschaftlichen Eigentum einer Erbengruppe stehen und die Zuweisung an einen der beiden Anwärter aufgeschoben sein soll? (Erw. 2). Auslegung eines Erbteilungsvertrages (Erw. 3).</w:t>
      </w:r>
    </w:p>
    <w:p>
      <w:r>
        <w:t>Regeste Règles de partage prescrites par testament (art. 608 CC). Le disposant peut attribuer son domaine sous condition (art. 482 CC) à l'un ou l'autre de ses deux fils, en fixant un ordre de préférence. L'art. 604 CC permet-il de prévoir par testament un délai durant lequel le domaine demeure la propriété commune d'un groupe d'héritiers, la remise à l'un des deux attributaires étant retardée d'autant (consid. 2)? Interprétation d'un contrat de partage (consid. 3).</w:t>
      </w:r>
    </w:p>
    <w:p>
      <w:r>
        <w:t>Regesto Norme per la divisione prescritte mediante testamento (art. 608 CC). Il disponente può attribuire la sua sostanza stabile sotto condizione (art. 482 CC) all'uno o all'altro dei suoi due figli, stabilendone un ordine di preferenza. Permette l'art. 604 CC di prevedere nel testamento un periodo durante il quale i beni stabili rimarranno proprietà comune di un gruppo di eredi e la consegna all'uno dei due figli ritardata nella stessa misura (consid. 2)? Interpretazione di un contratto di divisione (consid. 3).</w:t>
      </w:r>
    </w:p>
    <w:p>
      <w:pPr>
        <w:pStyle w:val="Heading2"/>
      </w:pPr>
      <w:r>
        <w:t>Erwägungen</w:t>
      </w:r>
    </w:p>
    <w:p>
      <w:r>
        <w:rPr>
          <w:b/>
        </w:rPr>
        <w:t>E. 1</w:t>
      </w:r>
    </w:p>
    <w:p>
      <w:r>
        <w:t>(Prozessuales).</w:t>
      </w:r>
    </w:p>
    <w:p>
      <w:r>
        <w:rPr>
          <w:b/>
        </w:rPr>
        <w:t>E. 2</w:t>
      </w:r>
    </w:p>
    <w:p>
      <w:r>
        <w:t>Die im Testament vom 29. Juni 1937 vorgesehene alternative Zuweisung des Heimwesens (an Walter, eventuell - "für den Fall, dass aus irgend einem Grunde Walter nicht in die Lage käme, das väterliche Gut zu übernehmen" - an Ernst) ist eine Zuweisungsvorschrift im Sinne von Art. 608 ZGB . Diese Gesetzesnorm erweitert die Verfügungsfreiheit des Erblassers zwar nicht über den nach Art. 470 ff. ZGB zu berechnenden verfügbaren Teil der Erbschaft hinaus, gibt ihm aber die Befugnis, einzelne zur Erbschaft gehörende Vermögensstücke bestimmten Erben zuzuweisen und damit in das grundsätzlich geltende Verfangenschaftserbrecht der pflichtteilsberechtigten Erben einzugreifen, dergestalt, dass ein solcher Erbe mitunter sein Betreffnis in Geld beziehen muss (vgl. F. SCHILLER, Pflichtteil, Pflichtteilswert und Teilungsvorschrift, S. 59; EDITH NOBS, Die Grenzen der Verfügungsfreiheit des Erblassers nach ZGB, S. 40/41). Die testamentarischen Zuweisungsvorschriften gehen selbst den gesetzlichen Regeln des bäuerlichen Erbrechts vor ( BGE 80 II 208 ff.). Es steht nichts entgegen, eine solche Zuweisungsvorschrift in analoger Anwendung des für materielle Verfügungen aufgestellten Art. 482 ZGB an eine Bedingung zu knüpfen. Fraglich ist allerdings, ob es dem Erblasser zustehe, auf solche Weise die Erben während einer allenfalls jahrelang dauernden Schwebezeit an einer endgültigen Teilung der Erbschaft zu hindern. Nach Art. 604 ZGB kann jeder Miterbe zu beliebiger Zeit die Teilung der Erbschaft verlangen, soweit er nicht durch Vertrag (worunter eine Vereinbarung unter den Erben selbst zu verstehen ist) oder Vorschrift des Gesetzes (insbesondere Art. 605 ZGB : Rücksichtnahme auf ein noch nicht geborenes Kind) zur Gemeinschaft verpflichtet ist. Eine Anordnung des Erblassers ist in Art. 604 nicht vorbehalten, weshalb umstritten ist, ob sie, sei es als Auflage, sei es BGE 85 II 554 S. 562 als negative Teilungsvorschrift, dennoch beachtlich und für die Erben verbindlich sei, in dem Sinne, dass jeder daran interessierte Erbe sie anrufen könne, während freilich eine im Widerspruch dazu einmütig durchgeführte Teilung gültig bliebe (vgl. TUOR, N. 8, und ESCHER, 2. Auflage, N. 8 zu Art. 604 ZGB ; H. WIDMER, Die Erbengemeinschaft, S. 91). Betrachtet man solche befristete Teilungsverbote des Erblassers grundsätzlich als zulässig, sofern sie einem vernünftigen Zweck dienen und im Einzelfalle keine übermässige Behinderung der Erben mit sich bringen (so die erwähnten Autoren), so lässt sich gegen die von Peter Benninger in dieser Hinsicht getroffenen Anordnungen nichts einwenden. Die Frage mag offen bleiben. Das vorliegende Testament wurde ja nicht angefochten, und es ist das Heimwesen des Erblassers bis auf den heutigen Tag im gemeinschaftlichen Eigentum der Kinder aus zweiter Ehe geblieben. Diese haben erst, als die vorliegende Klage schon hängig war, einen Vertrag auf Übertragung des Heimwesens an Walter Benninger beurkunden lassen. Der Kläger dagegen bezeichnet diese Vereinbarung als testamentswidrig und ist ihrem Vollzug mit der ihm richterlich bewilligten Vormerkung einer Verfügungsbeschränkung zuvorgekommen.</w:t>
      </w:r>
    </w:p>
    <w:p>
      <w:r>
        <w:rPr>
          <w:b/>
        </w:rPr>
        <w:t>E. 3</w:t>
      </w:r>
    </w:p>
    <w:p>
      <w:r>
        <w:t>Die Vorinstanz sieht indessen eine die testamentarische Alternativzuweisung aufhebende Vereinbarung sämtlicher Erben mit Einschluss des Klägers im Erbteilungsvertrag vom 17. November 1938. Daraus, dass dieser Vertrag die allfällige Zuweisung an den Kläger nicht ausdrücklich vorbehält, ist jedoch nicht zu folgern, man habe die dahingehende testamentarische Anordnung wegbedingen wollen. Da der Teilungsvertrag vielmehr ausdrücklich an die vom Erblasser getroffenen Verfügungen anknüpft und diesen in manchen Teilen genau entspricht, ist beim Fehlen ausdrücklicher oder sich sonstwie schlüssig ergebender gegenteiliger Vereinbarungen anzunehmen, die Zuweisungsvorschriften des Erblassers stünden auch in bezug auf das streitige Heimwesen weiterhin in Geltung. BGE 85 II 554 S. 563 Nun trifft der Teilungsvertrag in dieser Hinsicht eine Übergangslösung ähnlich der im Testament vorgesehenen. Es wird eine Gemeinderschaft (oder, mangels öffentlicher Beurkundung, eine beschränkte Erbengemeinschaft) von den Kindern aus zweiter Ehe, freilich ohne die Witwe, gebildet (die dieser Gemeinschaft aus nicht bekannten Gründen fernblieb). Dass die Teilung des Heimwesens damit aber nicht etwa abgeschlossen sein sollte, ergibt sich aus dem in den Teilungsvertrag aufgenommenen Hinweis auf das dem Walter Benninger im Testament eingeräumte Recht, dieses Erbschaftsgut später zu Alleineigentum zu übernehmen. Es besteht nun kein Grund, den Umstand, dass nicht auch der eventuelle Anspruch des Klägers miterwähnt wurde, dahin zu deuten, in diesem Eventualpunkt solle das Testament nicht mehr gelten. Vielmehr lässt sich die blosse Erwähnung des primären Anspruchs von Walter Benninger einfach daraus erklären, dass man wohl nicht ernstlich damit rechnete, er möchte dereinst zur Übernahme des Heimwesens nicht in der Lage sein. Im übrigen ist aus der von sämtlichen Erben am 18. Februar 1951 unterzeichneten "Ermächtigung" (die allerdings, weil nicht öffentlich beurrkundet, keinen gültigen Rechtsgrund für grundbuchliche Verfügungen darstellt) zurückzuschliessen, die Zuweisungsvorschriften des Testamentes seien fortwährend, also auch schon beim Abschluss des Teilungsvertrages, als in vollem Umfange weitergeltend betrachtet worden. Vollends darf daraus, dass der Teilungsvertrag in einzelnen Punkten vom Testament abweicht, nicht geschlossen werden, die testamentarischen Anordnungen seien von Rechts wegen, gleichgültig was die Beteiligten in dieser Hinsicht im Sinne hatten, ausser Kraft getreten. Ob für die Zeit bis zur Überführung des Heimwesens in das Alleineigentum eines Erben eine Gemeinderschaft oder beschränkte Erbengemeinschaft mit der Witwe oder ohne sie gebildet wurde, änderte nichts am vorübergehenden Charakter dieser vertraglichen Ordnung, zumal man im BGE 85 II 554 S. 564 Teilungsvertrag, wie erwähnt, die spätere Übertragung auf Walter Benninger - gemäss dem Testament - ausdrücklich vorbehielt. Auch aus der Vertragsstelle, die besagt, die Kinder aus erster Ehe wie auch die Witwe "treten den Kindern aus zweiter Ehe alle Rechte ab, die sie an den nachbezeichneten Liegenschaften besitzen", folgt angesichts des eindeutig als Übergangslösung bezeichneten Gesamteigentums keineswegs, dass nun das Heimwesen endgültig als Erbgut geteilt sei. Demgemäss ist die "Abtretung der Rechte" nicht als Verzicht des einen oder andern der beiden Anwärter auf künftigen Erwerb zu Alleineigentum gemäss den Anordnungen des Erblassers zu verstehen. Hatte doch auch nach diesen Anordnungen das Heimwesen in der Schwebezeit im Gesamteigentum einer Gemeinderschaft ohne Beteiligung des Klägers zu stehen, dem dennoch ein eventueller, subsidiärer Zuweisungsanspruch zuerkannt war.</w:t>
      </w:r>
    </w:p>
    <w:p>
      <w:r>
        <w:rPr>
          <w:b/>
        </w:rPr>
        <w:t>E. 4</w:t>
      </w:r>
    </w:p>
    <w:p>
      <w:r>
        <w:t>Ist somit die vom Kläger angerufene Testamentsklausel durch den Teilungsvertrag vom 17. November 1938 nicht berührt worden, so muss der (unter den Parteien umstrittene) wahre Sinn jener Klausel ermittelt und der für ihre Anwendung massgebende Tatbestand festgestellt werden. Dazu bedarf es, wie in Erw. 1 ausgeführt, der Rückweisung der Sache an die Vorinstanz.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