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489</w:t>
      </w:r>
    </w:p>
    <w:p>
      <w:r>
        <w:t>Bundesgericht (BGE), 1957-04-01, FR</w:t>
      </w:r>
    </w:p>
    <w:p>
      <w:r>
        <w:rPr>
          <w:b/>
        </w:rPr>
        <w:t xml:space="preserve">Quelle: </w:t>
      </w:r>
      <w:r>
        <w:t>https://mcp.opencaselaw.ch/entscheid/bge_BGE_85_II_489</w:t>
      </w:r>
    </w:p>
    <w:p>
      <w:r>
        <w:t>FR: ATF 85 II 489</w:t>
      </w:r>
    </w:p>
    <w:p>
      <w:r>
        <w:t>IT: DTF 85 II 489</w:t>
      </w:r>
    </w:p>
    <w:p>
      <w:pPr>
        <w:pStyle w:val="Heading2"/>
      </w:pPr>
      <w:r>
        <w:t>Regeste</w:t>
      </w:r>
    </w:p>
    <w:p>
      <w:r>
        <w:t>Regeste Boykott. 1. Begriff und Rechtmässigkeit eines Erzwingungsboykotts (Erw. 3). 2. Rechtmässigkeit des durch die Kollektivkonvention der Uhrenindustrie vom 1. April 1957 vorgesehenen Boykottes mit dem Zwecke der Einführung a) bilateraler Tarife (Erw. 4), b) einer Schiedsgerichtsbarkeit (Erw. 5), c) eines Kontrollorgans (Erw. 6).</w:t>
      </w:r>
    </w:p>
    <w:p>
      <w:r>
        <w:t>Regeste Boycott. 1. Notion et licéité du boycott d'assujettissement (consid. 3). 2. Licéité du boycott institué par la convention collective de l'industrie horlogère du 1er avril 1957 pour imposer a) des tarifs bilatéraux (consid. 4), b) une juridiction arbitrale (consid. 5), c) un organe de contrôle (consid. 6).</w:t>
      </w:r>
    </w:p>
    <w:p>
      <w:r>
        <w:t>Regesto Boicotto. 1. Nozione e liceità del boicotto d'assoggettamento (consid. 3). 2. Liceità del boicotto previsto nella convenzione collettiva dell'industria degli orologi del 1 aprile 1957 per imporre a) tariffe bilaterali (consid. 4), b) una giurisdizione arbitrale (consid. 5), c) un organo di controllo (consid. 6).</w:t>
      </w:r>
    </w:p>
    <w:p>
      <w:pPr>
        <w:pStyle w:val="Heading2"/>
      </w:pPr>
      <w:r>
        <w:t>Erwägungen</w:t>
      </w:r>
    </w:p>
    <w:p>
      <w:r>
        <w:rPr>
          <w:b/>
        </w:rPr>
        <w:t>E. 1</w:t>
      </w:r>
    </w:p>
    <w:p>
      <w:r>
        <w:t>et 2. - (Questions de procédure.)</w:t>
      </w:r>
    </w:p>
    <w:p>
      <w:r>
        <w:rPr>
          <w:b/>
        </w:rPr>
        <w:t>E. 3</w:t>
      </w:r>
    </w:p>
    <w:p>
      <w:r>
        <w:t>Les parties sont d'avis qu'on se trouve en l'espèce en présence d'un boycott d'assujettissement. Cette opinion est exacte. Les défenderesses imposent en effet à leurs membres l'abstention de tout rapport commercial avec les demandeurs pour obliger ceux-ci à se soumettre aux conditions de la convention collective, comme les autres maisons affiliées aux sections de la F.H. D'après la jurisprudence constante du Tribunal fédéral (RO 73 II 76, 76 II 287, 81 II 124, 82 II 299 et 315), le boycott n'est pas illicite dans tous les cas. Au contraire, il constitue, dans la vie économique, un moyen de lutte admissible en soi. Il devient illicite, en revanche, si le but visé ou les moyens utilisés sont contraires au droit ou aux moeurs ou s'il existe une disproportion évidente entre l'avantage recherché par le boycotteur et le dommage causé au boycotté. Il faut donc juger si l'une ou l'autre de ces conditions BGE 85 II 489 S. 497 sont remplies en l'espèce, en examinant successivement les trois groupes de dispositions conventionnelles critiquées par les demandeurs, savoir celles qui concernent les tarifs bilatéraux de l'UBAH, celles qui ont trait à la juridiction arbitrale et les dispositions relatives aux pouvoirs de Fidhor.</w:t>
      </w:r>
    </w:p>
    <w:p>
      <w:r>
        <w:rPr>
          <w:b/>
        </w:rPr>
        <w:t>E. 4</w:t>
      </w:r>
    </w:p>
    <w:p>
      <w:r>
        <w:t>a) En ce qui concerne les tarifs bilatéraux de l'UBAH, les défenderesses exposent que, selon l'art. 12 al. 3 de la convention collective de 1957, des tarifs et conditions de vente pouvaient être établis pour les produits des membres des groupements conventionnels de l'UBAH. De tels tarifs, poursuivent-elles, ne faisaient pas nécessairement partie de la convention collective, mais procédaient d'un accord de volonté indépendant; sur ce point, c'est donc la décision d'établir des tarifs et non la convention collective qui aurait dû être attaquée par les demandeurs. Il est exact que les tarifs n'étaient pas obligatoires en vertu de la convention collective. Mais, au moment où celle-ci est entrée en vigueur, ils existaient déjà et elle les a maintenus par son art. 87. Les maisons qui adhéraient à la convention s'obligeaient donc, en vertu de cette disposition, à observer ces tarifs et conditions de vente. D'autre part, si de nouveaux tarifs étaient établis, c'est en vertu des art. 11 et suiv. de la convention collective qu'ils liaient les entreprises affiliées aux sections de la F.H. et, en cas de violation, elles encouraient les peines conventionnelles prévues par cette même convention. Dès lors, si celle-ci était annulée sur les points en question comme le demandent Triebold et consorts, les tarifs n'auraient plus de caractère obligatoire pour les membres des sections de la F.H. Les demandeurs ont donc un intérêt juridique à l'annulation des dispositions qu'ils ont énumérées sous ch. 1a litt. aa de leurs conclusions. b) Par la convention collective, notamment par les tarifs bilatéraux, les défenderesses veulent empêcher la dissidence, supprimer en partie la libre concurrence et BGE 85 II 489 S. 498 régler les prix, pour soustraire autant que possible l'industrie horlogère aux crises qui l'ont frappée périodiquement. Ce but est conforme, pour l'essentiel, à celui que s'est proposé le législateur fédéral lorsqu'il a établi le statut de l'horlogerie de 1951 et, plus encore, à celui qui était visé par les arrêtés de 1934 et 1936. Il ne saurait donc être taxé d'illicite ou de contraire aux moeurs. Du reste, une réglementation des prix n'est illicite en soi que si elle tend à maintenir artificiellement des prix excessifs et à exploiter ainsi la clientèle (RO 54 II 168, 62 II 100). Les demandeurs ne prétendent pas que ces conditions soient remplies en l'espèce. Quant aux moyens employés pour atteindre ce but, ils ne sont pas - abstraction faite de la juridiction arbitrale et des pouvoirs de Fidhor, qui seront examinés ci-dessous - contraires au droit ou aux moeurs. Il reste donc à juger s'il existe une disproportion manifeste entre les avantages recherchés par le boycott et les dommages causés à ceux qui sont atteints par cette mesure. Il est constant que les graves crises traversées par l'industrie horlogère provenaient dans une large mesure d'un manque de solidarité et d'organisation. Le "chablonnage" enlevait du travail à des entreprises indigènes, nuisait au bon renom de la montre suisse et favorisait l'émigration de l'industrie horlogère. En outre, la "sousenchère" entraînait la ruine de nombreux fabricants et empêchait de rétribuer convenablement les ouvriers. Cette situation exigeait une organisation stricte, qui fut mise sur pied avec l'aide de la Confédération. Le législateur fédéral subordonne lui-même à un permis l'ouverture ou l'agrandissement d'entreprises horlogères, ainsi que l'exportation de mouvements et de pièces détachées. Ces mesures furent complétées par les conventions collectives, qui instituèrent la réciprocité syndicale, en vertu de laquelle il n'était notamment permis aux fabricants de montres d'acheter des ébauches et autres pièces détachées qu'aux entreprises conventionnelles, affiliées à Ebauches SA et BGE 85 II 489 S. 499 à l'UBAH. Enfin, ces conventions étaient assorties de tarifs bilatéraux, que le Département fédéral de l'économie publique put rendre obligatoires de 1936 à 1951. Dans la présente procédure, les demandeurs ne critiquent pas la réciprocité syndicale. Ils prétendent en revanche qu'elle pourrait être maintenue sans les tarifs bilatéraux adoptés pour les produits des entreprises affiliées à l'UBAH. Cette opinion est erronée. Du moment que ces maisons ne sont autorisées à vendre leurs marchandises qu'à un cercle restreint d'acheteurs, il est nécessaire de leur donner l'assurance qu'elles pourront le faire à des prix rémunérateurs. Inversement, les fabricants d'horlogerie étant tenus de s'approvisionner auprès des membres des groupements de l'UBAH, il faut empêcher que ceux-ci, notamment en période de haute conjoncture, ne profitent de leur monopole pour imposer des prix abusivement élevés. Les tarifs bilatéraux constituent donc le complément indispensable de la réciprocité syndicale. Aussi bien ont-ils été approuvés par le législateur fédéral en 1936. De même, dans son message du 6 octobre 1950, (FF 1950 III p. 102), le Conseil fédéral exposait encore que, d'après les expériences faites depuis 1936, les autorités fédérales ne pouvaient se désintéresser de la fixation des prix. Il est vrai que, sur ce point, les conseils législatifs n'ont pas adopté les propositions du Conseil fédéral et ont éliminé du statut de 1951 toute disposition concernant les prix. Mais les demandeurs y voient à tort la démonstration que des tarifs ne sont pas nécessaires. Les Chambres fédérales n'ont nullement nié l'importance de tels tarifs. Si elles n'ont pas admis sur ce point la proposition du Conseil fédéral, c'est parce que sa base constitutionnelle était douteuse et que le même résultat pouvait être atteint par des conventions de droit privé (cf. Bull. stén., 1950 CE p. 370 et 438, 1951 CN p. 293/294 et 346). Il faut considérer en outre que l'industrie horlogère est fortement décentralisée et compte un grand nombre de petites entreprises à caractère artisanal, puisque plus de 1700 d'entre elles ne sont pas soumises à la loi sur le travail BGE 85 II 489 S. 500 dans les fabriques. Sa dispersion permet à une importante population rurale de trouver une source de gain sur place, sans émigrer dans les grands centres. Cette structure de l'industrie horlogère est très heureuse du point de vue social et doit être conservée autant que possible. C'est du reste un des buts que le législateur fédéral s'est proposé en édictant le statut de l'horlogerie (cf. message du Conseil fédéral du 6 octobre 1950, loc. cit. p. 106). Or les tarifs contribuent également au maintien de cette situation. En effet, s'ils n'existaient pas, une diminution éventuelle des commandes provoquerait nécessairement la "sous-enchère" et la baisse générale des prix. Ce phénomène frapperait en premier lieu les petites entreprises, qui disparaîtraient au profit des grandes, plus aptes à soutenir la concurrence grâce à leurs réserves financières et à la rationalisation poussée de leur fabrication. Cependant, pour être dignes d'être protégés, il ne faut pas que les tarifs obligatoires soient fondés sur la situation des entreprises les moins bien organisées et encouragent ainsi la stagnation. En outre, ils ne doivent point être imposés par une des parties au détriment de l'autre. Ils satisfaisaient à ces exigences en l'espèce. Les art. 12, 13 et 79 a à 79e de la convention de 1957 statuaient qu'à défaut d'entente directe entre les organisations intéressées, les prix étaient fixés par une commission constituée paritairement et présidée par une personne neutre; les membres de cette commission pouvaient être récusés pour les motifs prévus par le code de procédure civile bernois. D'autre part, pour établir ou modifier les tarifs et conditions de vente, la commission tarifaire devait se fonder sur le prix de revient déterminé par des expertises effectuées dans des fabriques répondant aux exigences du progrès technique, de la normalisation et de la rationalisation. Ainsi, les tarifs critiqués par les demandeurs visent le même but que le statut édicté par le législateur et protègent efficacement une des branches les plus importantes de l'économie suisse. Ils prévalent dès lors sur les intérêts BGE 85 II 489 S. 501 particuliers des demandeurs, qui représentent moins de 2% des entreprises horlogères (cf. RO 62 II 281).</w:t>
      </w:r>
    </w:p>
    <w:p>
      <w:r>
        <w:rPr>
          <w:b/>
        </w:rPr>
        <w:t>E. 5</w:t>
      </w:r>
    </w:p>
    <w:p>
      <w:r>
        <w:t>Les demandeurs critiquent en outre la juridiction arbitrale imposée par la convention collective, ainsi que la compétence judiciaire attribuée aux Délégations réunies. A leur avis, cette convention ne pouvait les soustraire à leur juge naturel; le droit garanti par l'art. 58 Cst. doit également être respecté sur le terrain du droit civil: en vertu de l'art. 27 CO, il est contraire au droit de la personnalité qu'un individu soit distrait de son juge naturel contre sa volonté. Au surplus, disent-ils, le Tribunal arbitral n'était nullement nécessaire pour que la convention collective pût être appliquée; les tâches confiées à cette juridiction pouvaient être remplies tout aussi bien par les juges ordinaires. Chacun a le droit, en principe, de renoncer à son juge naturel. Une telle renonciation ne saurait cependant être imposée à un individu, sous menace d'un boycott, lorsque le but visé ou les moyens utilisés sont illicites ou contraires aux moeurs. En outre, une telle mesure coercitive doit être justifiée par des intérêts supérieurs à celui qu'a le boycotté à ne relever que de son juge naturel. C'est ainsi qu'un boycott n'est jamais admissible lorsqu'il tend à soumettre la personne visée à un tribunal arbitral dont l'impartialité est douteuse, notamment parce qu'il n'a pas été constitué paritairement. Le but que la F.H., l'UBAH et Ebauches SA se proposaient en 1957 en imposant une juridiction arbitrale aux entreprises qui leur étaient affiliées et les moyens qu'elles utilisaient n'étaient ni illicites ni contraires aux moeurs. D'autre part, cette juridiction avait pour elles un intérêt évident. car elle permettait une meilleure application de la convention collective. Si les infractions à cet accord avaient dû être soumises à diverses autorités cantonales, celles-ci auraient risqué d'avoir une jurisprudence divergente et, comme le montant des peines est essentiellement une question d'appréciation, le Tribunal fédéral n'aurait BGE 85 II 489 S. 502 pu assurer qu'imparfaitement une application uniforme de la convention. On obtenait en revanche ce résultat en soumettant tous les cas à la même juridiction arbitrale. En outre, le Tribunal arbitral était composé de personnes qui connaissaient bien l'organisation et les problèmes de l'industrie horlogère; certaines d'entre elles, savoir les juges industriels, avaient même l'expérience pratique de la direction d'une entreprise d'horlogerie. Le Tribunal fédéral a déjà jugé, d'autre part (RO 81 I 328 et suiv.), que la juridiction arbitrale instituée par la convention collective offrait toutes les garanties d'une autorité indépendante. De fait, les trois juges de carrière qui faisaient partie du Tribunal arbitral étaient élus par les autorités judiciaires suprêmes des cantons de Neuchâtel, Berne et Soleure et c'étaient eux qui désignaient les juges industriels. Sans doute ceux-ci étaient-ils nécessairement attachés à des entreprises affiliées à la F.H., à l'UBAH ou à Ebauches SA Mais, la plupart du temps, c'eût aussi été le cas des experts auxquels les tribunaux ordinaires auraient dû recourir. Au surplus, il n'est nullement certain que les juges industriels aient eu tendance à défendre les intérêts des associations au dépens de ceux de la maison inculpée; ils pouvaient parfois se trouver dans la même situation que cette dernière; à son art. 82 al. 10, la convention collective de 1957 envisageait expressément ce cas. En outre, la majorité appartenait toujours aux juges de carrière. Tous les membres du Tribunal arbitral, enfin, pouvaient être récusés pour les motifs prévus par le code de procédure civile bernois (cf. art. 384). Dès lors, si l'institution de la juridiction arbitrale frappait les demandeurs dans leurs intérêts personnels, cette atteinte n'était pas illicite, car elle était encore justifiée par les intérêts généraux de l'industrie horlogère. Enfin, les demandeurs se plaignent à tort des compétences judiciaires accordées aux Délégations réunies. En général, les décisions de cet organe étaient susceptibles de recours au Tribunal arbitral, qui pouvait les revoir librement BGE 85 II 489 S. 503 (art. 83 al. 5 de la convention collective). Or, comme on l'a vu, cette juridiction offrait les garanties nécessaires quant à son impartialité. Parmi les points critiqués par les demandeurs, seules les décisions prises par les Délégations réunies en vertu de l'art. 73 litt. c de la convention collective ne pouvaient être déférées au Tribunal arbitral. Mais cette clause permettait simplement aux Délégations réunies, au lieu de classer l'affaire ou de proposer d'abord une liquidation administrative, de renvoyer directement l'entreprise contrevenante devant la juridiction arbitrale. Celle-ci pouvant à bon droit être imposée avec menace d'un boycott, on ne voit pas en quoi l'art. 73 litt. c portait une atteinte illicite aux intérêts personnels des demandeurs.</w:t>
      </w:r>
    </w:p>
    <w:p>
      <w:r>
        <w:rPr>
          <w:b/>
        </w:rPr>
        <w:t>E. 6</w:t>
      </w:r>
    </w:p>
    <w:p>
      <w:r>
        <w:t>a) Les demandeurs critiquent les dispositions conventionnelles en vertu desquelles Fidhor pouvait exiger des signataires tous leurs documents fiscaux, obtenir des autorités les renseignements qu'elle désirait à ce sujet et étendre son contrôle à toute l'activité et à toute la comptabilité des membres des organisations horlogères, même si elles comprenaient aussi des articles non soumis à la convention, complètement étrangers à l'horlogerie, des affaires ou des comptes personnels. Ils estiment que ces clauses portaient à leurs intérêts personnels une atteinte telle qu'elles ne pouvaient être imposées par un boycott. Pour que la convention collective produisît son plein effet, il était indispensable d'en surveiller étroitement l'application. En particulier, un tel contrôle devait permettre de déceler toutes les manoeuvres par lesquelles les contrevenants cherchaient à éluder les dispositions conventionnelles, notamment les tarifs obligatoires. La suppression du secret fiscal et la faculté de consulter également les comptes privés des fabricants étaient donc des mesures parfaitement adéquates. D'autre part, ce contrôle était confié à un organe qui était lié par le secret professionnel, qui ne consignait dans ses rapports que les faits susceptibles d'être considérés comme des infractions (art. 81 al. 9 de la convention collective) et qui a la confiance du législateur BGE 85 II 489 S. 504 fédéral, puisque, en vertu de l'art. 43 al. 2 de l'ordonnance d'exécution du 21 décembre 1951, le Département fédéral de l'économie publique peut charger Fidhor des enquêtes nécessaires pour contrôler l'observation du statut de l'horlogerie. Dès lors, l'atteinte que les pouvoirs de contrôle accordés à Fidhor par la convention collective de 1957 portaient aux intérêts personnels des demandeurs n'était pas illicite, car elle était justifiée par les intérêts prépondérants de l'industrie horlogère. b) Les demandeurs se plaignent enfin de l'art. 80 al. 4 de la convention collective, en vertu duquel les constatations de fait figurant dans les rapports d'enquête de Fidhor avaient, jusqu'à preuve du contraire, force probante pour les Délégations réunies et le Tribunal arbitral. Cependant, cette disposition ne les frappait pas de façon excessive dans leurs intérêts personnels: l'entreprise à laquelle une contravention était reprochée pouvait apporter la preuve contraire et il appartenait en définitive au Tribunal arbitral d'apprécier la valeur probante du rapport de Fidhor et celle des éléments invoqués par le fabricant en cause, puis de donner la préférence à l'une ou à l'autre des thèses en présence.</w:t>
      </w:r>
    </w:p>
    <w:p>
      <w:r>
        <w:rPr>
          <w:b/>
        </w:rPr>
        <w:t>E. 7</w:t>
      </w:r>
    </w:p>
    <w:p>
      <w:r>
        <w:t>Ainsi, dans la mesure où elle est recevable, la demande n'est fondée sur aucun de ses points et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