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457</w:t>
      </w:r>
    </w:p>
    <w:p>
      <w:r>
        <w:t>Bundesgericht (BGE), 1959-01-01, DE</w:t>
      </w:r>
    </w:p>
    <w:p>
      <w:r>
        <w:rPr>
          <w:b/>
        </w:rPr>
        <w:t xml:space="preserve">Quelle: </w:t>
      </w:r>
      <w:r>
        <w:t>https://mcp.opencaselaw.ch/entscheid/bge_BGE_85_II_457</w:t>
      </w:r>
    </w:p>
    <w:p>
      <w:r>
        <w:t>FR: ATF 85 II 457</w:t>
      </w:r>
    </w:p>
    <w:p>
      <w:r>
        <w:t>IT: DTF 85 II 457</w:t>
      </w:r>
    </w:p>
    <w:p>
      <w:pPr>
        <w:pStyle w:val="Heading2"/>
      </w:pPr>
      <w:r>
        <w:t>Regeste</w:t>
      </w:r>
    </w:p>
    <w:p>
      <w:r>
        <w:t>Regeste Entmündigung nach Art. 369 und 370 ZGB. Greis mit altersbedingter Arteriosklerose des Gehirns und daheriger Unfähigkeit, sich homosexuellen Delinquierens zu enthalten: 1. Geisteskrankheit, lasterhafter Lebenswandel, Gefährdung der Sicherheit Anderer und Schutzbedürftigkeit bejaht (Erw. 3). 2. Zur Entmündigung wegen Geisteskrankheit nach Art. 374 Abs. 2 ZGB genügt auch ein ausserhalb des Entmündigungsverfahrens, z.B. in Strafprozess, eingeholtes psychiatrisches Gutachten, sofern es alle nötigen Feststellungen enthält (Erw. 4). 3. Da hier der lasterhafte Lebenswandel seine Ursache nicht ausschliesslich in der geistigen Erkrankung hat, ist nach Art. 369 und 370 ZGB zu entmündigen (Erw. 5).</w:t>
      </w:r>
    </w:p>
    <w:p>
      <w:r>
        <w:t>Regeste Interdiction en vertu des art. 369 et 370 CC. Vieillard atteint d'artériosclérose du cerveau en raison de son âge et incapable de ce fait de ne pas commettre des infractions d'ordre homosexuel: 1. Maladie mentale, inconduite, menace pour la sécurité d'autrui et besoin de protection admis (consid. 3). 2. Pourvu qu'elle contienne toutes les constatations nécessaires, une expertise psychiatrique requise même en dehors de la procédure d'interdiction, par exemple dans un procès pénal, suffit pour interdire une personne en raison d'une maladie mentale conformément à l'art. 374 al. 2 CC (consid. 4). 3. Comme ici l'inconduite n'a pas son origine exclusivement dans la maladie mentale, il faut prononcer l'interdiction en vertu des art. 369 et 370 CC (consid. 5).</w:t>
      </w:r>
    </w:p>
    <w:p>
      <w:r>
        <w:t>Regesto Interdizione in virtù degli art. 369 e 370 CC. Vecchio sofferente di arteriosclerosi cervicale a motivo dell'età e, di conseguenza, incapace di astenersi dal commettere reati di carattere omosessuale: 1. Malattia mentale, scostumatezza, messa in pericolo dell'altrui sicurezza e bisogno di protezione ammessi (consid. 3). 2. In quanto contenga tutte le costatazioni necessarie, una perizia psichiatrica richiesta anche all'infuori del procedimento d'interdizione, per esempio in un processo penale, è sufficiente a giustificare l'interdizione di una persona per malattia mentale giusta l'art. 374 cp. 2 CC (consid. 4). 3. Siccome nella fattispecie la scostumatezza non ha le sue origini esclusivamente nella malattia mentale, occorre pronunciare l'interdizione in virtù degli art. 369 e 370 CC (consid. 5).</w:t>
      </w:r>
    </w:p>
    <w:p>
      <w:pPr>
        <w:pStyle w:val="Heading2"/>
      </w:pPr>
      <w:r>
        <w:t>Erwägungen</w:t>
      </w:r>
    </w:p>
    <w:p>
      <w:r>
        <w:rPr>
          <w:b/>
        </w:rPr>
        <w:t>E. 1</w:t>
      </w:r>
    </w:p>
    <w:p>
      <w:r>
        <w:t>(Neues Privatgutachten, unzulässig nach Art. 55 Abs. 1 lit. c OG ).</w:t>
      </w:r>
    </w:p>
    <w:p>
      <w:r>
        <w:rPr>
          <w:b/>
        </w:rPr>
        <w:t>E. 2</w:t>
      </w:r>
    </w:p>
    <w:p>
      <w:r>
        <w:t>(Frage einer Beiratschaft).</w:t>
      </w:r>
    </w:p>
    <w:p>
      <w:r>
        <w:rPr>
          <w:b/>
        </w:rPr>
        <w:t>E. 3</w:t>
      </w:r>
    </w:p>
    <w:p>
      <w:r>
        <w:t>Die Fragen nach dem Vorliegen der Entmündigungsgründe und -voraussetzungen, nämlich ob der Beklagte einerseits infolge Geisteskrankheit oder -schwäche, anderseits zufolge lasterhaften Lebenswandels zu seinem Schutze dauernd des Beistandes und der Fürsorge bedürfe oder die Sicherheit anderer gefährde (Art. 369/370 ZGB), sind ohne irgendwelche Zweifel zu bejahen. a) Geisteskrankheit oder Geistesschwäche als Entmündigungsgrund ist jeder abnormale Geisteszustand dauernder Art, aus dem sich Schutzbedürftigkeit im Sinne des Art. 369 ergibt ( BGE 62 II 264 ). Das Gutachten Dr. Brunold vom 12. Juni 1958 erklärt, dass der Beklagte als körperlich, besonders aber psychisch ausgesprochen krank zu beurteilen sei und wegen dieses seines Krankheitszustandes dauernder Pflege in einem Heim bedürfe, wo auch eine gewisse Kontrolle gewährleistet sei, welch letzteres Erfordernis sich nach dem Zusammenhang nur auf den Verkehr des Beklagten mit Jünglingen und Knaben beziehen kann. Die Vorinstanz hat diese Annahmen des Gutachters zu den ihrigen gemacht. Da es sich dabei um Feststellungen tatsächlicher Art (Krankheitszustand) handelt, sind sie gemäss Art. 60 Abs. 2 OG für die Berufungsinstanz verbindlich. b) Lasterhafter Lebenswandel ist mit der Vorinstanz ebenfalls zu bejahen. Wie die Aufzählung der Strafurteile im Tatbestand zeigt, hat der Interdizend seit bald 30 Jahren und bis in das jetzige hohe Greisenalter hinein sich immer wieder als Homosexueller mit jungen Männern und Knaben vergangen. In seiner Wohngemeinde war diese Anomalie des X. dorfbekannt. Gewiss vermöchte, wie die Vorinstanz zutreffend bemerkt, eine einmalige derartige Verfehlung eine Entmündigung nicht zu rechtfertigen ( BGE 69 II 18 ); aber das jahrzehntelange und mit der Zeit BGE 85 II 457 S. 461 immer häufigere Delinquieren erfüllt das im Begriff "Lebenswandel" enthaltene Element des Ständigen, Dauernden. Ebenso trifft die Qualifikation "lasterhaft" zu. Der unzüchtige Verkehr zwischen Personen gleichen Geschlechts ist auf alle Fälle ein Laster, auch wo er nicht strafrechtlich verfolgt wird; a fortiori aber, wenn letzteres der Fall ist, wie es in casu immer zutraf. Mit Recht sagt die Vorinstanz: "Ein Verhalten, das den sittlichen Anschauungen der Allgemeinheit widerspricht und ausdrücklich unter Strafandrohung verboten ist und dem der Befallene keine wirksamen Hemmungen mehr entgegensetzen kann, erscheint als Laster im Sinne des Art. 370 ZGB ". Auch die Doktrin anerkennt widernatürliche Unzucht, Päderastie als Entmündigungsgrund (vgl. EGGER, zu Art. 370 N. 47). c) In die Entmündigungsvoraussetzung der Gefährdung der Sicherheit anderer ( Art. 369, 370 ZGB ) ist, wie der zit. Autor und die Vorinstanz mit Recht annehmen, auch die sittliche Gefährdung Dritter, namentlich Jugendlicher durch die Betätigung ungehemmter, zumal perverser Triebe miteingeschlossen. In der Berufungsschrift wird allerdings geltend gemacht, diese Gefährdung daure angesichts des Alters des Interdizenden nicht an, und bei ihrem Wegfall rechtfertige sich eine Entmündigung nicht mehr. Nach der Praxis genügt indessen der Umstand, dass die zu bevormundende Person während und unter dem Druck des Entmündigungsverfahrens ihren lasterhaften Lebenswandel aufgibt, nicht, um die Bevormundung abzuwenden (BlZR 15, 104; SJZ 11, 336; etwas einschränkend: BGE 83 II 275 ). Im vorliegenden Fall erklärt der Gutachter Dr. Brunold, wegen der erheblichen Herabsetzung der Hemmungsmechanismen gegenüber triebhaften Regungen bestehe beim Beklagten trotz seinem Alter keine sichere Gewähr dafür, dass er sich in Zukunft nicht doch wieder deliktische Handlungen auf sexuellem Gebiet könnte zuschulden kommen lassen. Und aus den Akten ergibt sich denn auch, dass er noch während des Entmündigungsverfahrens BGE 85 II 457 S. 462 (ab 23. Juni 1958) Annäherungen der bekannten Art nicht aus dem Wege gegangen ist (München Oktober 1958; Meran Frühjahr 1959). Solange sein Interesse an 20-jährigen, für seine Munifizenz empfänglichen Jünglingen nicht erloschen ist, besteht auch die Gefährdung solcher Gelegenheitspartner. d) Darüber hinaus ist aber auch die von der Vorinstanz als diskutabel bezeichnete Voraussetzung der eigenen Schutzbedürftigkeit des Interdizenden - wobei es sich um eine Rechtsfrage handelt - zu bejahen. Dabei ist nicht nur an die Verhütung weiterer Strafverfolgungen mit ihren schädlichen Folgen für Gesundheit, Ehre und Finanzen - (Anwaltshonorare pro 1957/58: Fr. 6714.50) - zu denken, sondern auch an die persönliche Gefährdung des begüterten homosexuellen Greises angesichts der häufigen Verbrechen im bezüglichen "Milieu", wovon der Beklagte sogar in seiner ländlichen Wohngemeinde im Falle P. ein warnendes Beispiel erlebt hat. e) Nicht umsonst bezeichnet der Experte die Unterbringung des Beklagten in einem Heim als unausweichlich, und zwar trotz voraussichtlichen Anpassungsschwierigkeiten. Solche persönlichen Unannehmlichkeiten müssen, wie die Vorinstanz mit Recht bemerkt, gegenüber den wichtigeren öffentlichen Interessen zurücktreten. In allen Straffällen hat der Beklagte vor Gericht Reue bezeigt und Besserung versprochen, sich aber nie halten können. Heute sind daher in der Tat vormundschaftliche Massnahmen unumgänglich; und zwar genügt nicht Beiratschaft, sondern nur Vormundschaft, da nicht nur vermögensrechtliche, sondern in erster Linie persönliche Betreuung nötig ist ( BGE 78 II 336 ).</w:t>
      </w:r>
    </w:p>
    <w:p>
      <w:r>
        <w:rPr>
          <w:b/>
        </w:rPr>
        <w:t>E. 4</w:t>
      </w:r>
    </w:p>
    <w:p>
      <w:r>
        <w:t>Die Entmündigung wegen Geisteskrankheit oder -schwäche darf nach Art. 374 Abs. 2 ZGB nur nach Einholung eines Sachverständigengutachtens erfolgen. Der Berufungskläger lässt geltend machen, es liege kein eigentliches Gutachten zur Frage der Entmündigung vor, da dasjenige von Dr. Brunold von einer Verwaltungsbehörde BGE 85 II 457 S. 463 über die Frage der Straferstehungsfähigkeit des Beklagten eingeholt worden sei. Das Gesetz verlangt aber nicht, dass das Gutachten im Entmündigungsverfahren selbst erstattet sein müsse; wenn ein solches in einem Strafverfahren eingeholt wurde, das unmittelbar zur Einleitung des Entmündigungsverfahrens führte, so genügt dies, vorausgesetzt dass es alle nötigen Feststellungen enthält (Urteil vom 5. Februar 1947 i.S. Mattli). Dies trifft hier zu: der Gutachter äussert sich über den psychischen Krankheitszustand und sodann über die Schutzbedürftigkeit des Interdizenden. Diesen Befund zu würdigen und gestützt darauf zu erkennen, ob ein Entmündigungsfall gegeben sei, ist dann Sache des Gerichts ( BGE 81 II 263 ).</w:t>
      </w:r>
    </w:p>
    <w:p>
      <w:r>
        <w:rPr>
          <w:b/>
        </w:rPr>
        <w:t>E. 5</w:t>
      </w:r>
    </w:p>
    <w:p>
      <w:r>
        <w:t>Nach der Rechtsprechung ist die Entmündigung auf Grund von Art. 369 ZGB auszusprechen, falls ein Bevormundungsgrund im Sinne von Art. 370 auf geistige Erkrankung zurückzuführen ist ( BGE 62 II 71 ). Der vorliegende Fall liegt jedoch nicht so, dass der Bevormundungsgrund des Art. 369 denjenigen nach Art. 370 in sich schlösse bzw. gleichsam konsumierte; denn der lasterhafte Lebenswandel des Interdizenden hat seinen Grund nicht ausschliesslich in der geistigen Erkrankung, sondern bestand schon vor 30 Jahren, als der damals im besten Alter stehende Mann noch nicht an den jetzigen altersbedingten psychopathischen Erscheinungen litt; diese wirken mehr als Enthemmungsfaktoren denn als in der genuinen Persönlichkeit liegende Motoren seines Verhaltens.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