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378</w:t>
      </w:r>
    </w:p>
    <w:p>
      <w:r>
        <w:t>Bundesgericht (BGE), 1959-01-01, FR</w:t>
      </w:r>
    </w:p>
    <w:p>
      <w:r>
        <w:rPr>
          <w:b/>
        </w:rPr>
        <w:t xml:space="preserve">Quelle: </w:t>
      </w:r>
      <w:r>
        <w:t>https://mcp.opencaselaw.ch/entscheid/bge_BGE_85_II_378</w:t>
      </w:r>
    </w:p>
    <w:p>
      <w:r>
        <w:t>FR: ATF 85 II 378</w:t>
      </w:r>
    </w:p>
    <w:p>
      <w:r>
        <w:t>IT: DTF 85 II 378</w:t>
      </w:r>
    </w:p>
    <w:p>
      <w:pPr>
        <w:pStyle w:val="Heading2"/>
      </w:pPr>
      <w:r>
        <w:t>Regeste</w:t>
      </w:r>
    </w:p>
    <w:p>
      <w:r>
        <w:t>Regeste Art. 519 Abs. 1 Ziff. 3 ZGB; unsittliche Verfügung von Todes wegen (Vermächtnis und bedingte Beschränkung eines Erben auf den Pflichtteil). Verfügungen eines verheirateten Mannes zu Gunsten einer mit ihm lebenden Geliebten, die ihn während seiner Krankheit und bis zu seinem Tode nicht verliess.</w:t>
      </w:r>
    </w:p>
    <w:p>
      <w:r>
        <w:t>Regeste Art. 519 al. 1 ch. 3 CC; dispositions pour cause de mort contraires aux moeurs (legs et réduction conditionnelle à la réserve). Dispositions d'un homme marié en faveur d'une concubine qui ne l'a pas quitté durant sa maladie et jusqu'à sa mort.</w:t>
      </w:r>
    </w:p>
    <w:p>
      <w:r>
        <w:t>Regesto Art. 519 cp. 1 num. 3 CC; disposizione immorale a causa di morte (legato e riduzione condizionale di un erede alla porzione legittima). Disposizione di un uomo sposato a favore di una concubina che non l'ha abbandonato durante la sua malattia e sino alla sua morte.</w:t>
      </w:r>
    </w:p>
    <w:p>
      <w:pPr>
        <w:pStyle w:val="Heading2"/>
      </w:pPr>
      <w:r>
        <w:t>Erwägungen</w:t>
      </w:r>
    </w:p>
    <w:p>
      <w:r>
        <w:rPr>
          <w:b/>
        </w:rPr>
        <w:t>E. 1</w:t>
      </w:r>
    </w:p>
    <w:p>
      <w:r>
        <w:t>Les demanderesses prétendent que les libéralités du défunt sont immorales parce que leur motif réside dans le commerce adultérin entretenu avec la défenderesse. Elles soutiennent en outre que la réduction conditionnelle du droit de la fille l'est aussi, ayant été prévue pour assurer le respect de dispositions testamentaires contraires aux moeurs. Comme l'expose exactement le jugement attaqué, G. U. aurait pu opérer cette réduction sans motifs, en tout cas sans indiquer de motifs; il pouvait donc le faire dans le cas seulement où sa fille adopterait une certaine attitude, notamment en exerçant un droit. Mais si ce droit est celui de faire constater le caractère illicite ou immoral d'un acte, toute mesure qui tend à en restreindre l'exercice favorise ou maintient une situation illicite ou immorale; elle est donc elle-même illicite ou immorale. Il s'ensuit que la réduction incriminée est contraire aux moeurs et nulle dans le sens de l'art. 519 CC si les dispositions que la fille n'eût pas dû attaquer sont elles-mêmes immorales. La validité des legs entraîne donc celle de la réduction conditionnelle. Les recourantes, d'ailleurs, ne contestent pas sérieusement cette argumentation.</w:t>
      </w:r>
    </w:p>
    <w:p>
      <w:r>
        <w:rPr>
          <w:b/>
        </w:rPr>
        <w:t>E. 2</w:t>
      </w:r>
    </w:p>
    <w:p>
      <w:r>
        <w:t>Selon l'art. 519 ch. 3 CC, une disposition pour cause de mort peut être annulée lorsqu'elle est contraire aux moeurs, soit par elle-même, soit par les conditions dont elle est grevée. Elle ne saurait l'être en raison seulement BGE 85 II 378 S. 381 de son mobile; il faut au contraire que la libéralité prévue soit, comme telle, contraire aux moeurs, ou que le testateur ait voulu un tel résultat, ou qu'il l'ait tout au moins prévu et approuvé. Une disposition est ainsi nulle si la testatrice avait pour but, en la rédigeant, de déterminer le bénéficiaire à se fiancer avec elle et à rompre son union légitime, ou tout au moins à continuer des relations contraires à la notion du mariage, ou encore si elle devait simplement envisager cette éventualité et qu'elle ait admis que sa libéralité pouvait avoir un tel résultat ou contribuer à l'obtenir (RO 73 II 15 sv.). Il est hors de doute, en l'espèce, que la libéralité n'a pas pour seul motif les relations adultérines consenties par la défenderesse (pretium stupri; RO 18.328, 20.998). Certes, après le rejet de son action en divorce, le disposant eût dû reprendre la vie commune, non en entreprendre le simulacre aux côtés de la défenderesse. Mais ce concubinage, qui ne fut pas la cause principale, ou du moins unique, de la désunion déjà profonde du ménage du testateur, a duré neuf ans au cours desquels la maîtresse devint peu à peu, dit le jugement attaqué, la compagne puis la garde-malade d'un vieillard condamné par la maladie dès 1956. Des soins attentifs et dévoués ont vraisemblablement pris de jour en jour plus de poids, aux yeux du testateur, que les relations charnelles, si même elles duraient encore. Aussi bien, ayant lié à son destin, sans l'épouser, une jeune femme de 34 ans employée de l'administration fédérale, le disposant dut-il se considérer comme moralement tenu d'assurer dans une certaine mesure, puisqu'il le pouvait largement, l'avenir matériel de son amie qui l'avait rendu heureux (cf. RO 20.998). Il ressort de la procédure de divorce que le défunt s'était toujours senti frustré de l'affection de sa femme et s'en plaignait amèrement depuis longtemps. Il dit tout cela dans ses testaments et codicilles et dans la lettre qu'il a adressée à sa fille; il n'y a pas de motif de douter qu'il l'ait pensé, à tort ou à raison, et que cette opinion l'ait déterminé à récompenser la légataire de l'appui moral BGE 85 II 378 S. 382 qu'elle lui accorda dans ses vieux jours et dont il se croyait sevré. Ce motif, de l'avis général, est honorable; il ne saurait rendre la disposition pour cause de mort immorale comme telle ou par le résultat recherché.</w:t>
      </w:r>
    </w:p>
    <w:p>
      <w:r>
        <w:rPr>
          <w:b/>
        </w:rPr>
        <w:t>E. 3</w:t>
      </w:r>
    </w:p>
    <w:p>
      <w:r>
        <w:t>Du reste, si le disposant avait voulu atteindre un résultat contraire aux moeurs, ou qu'il l'ait tout au moins prévu et approuvé, il faudrait encore que sa libéralité ait pu l'y faire parvenir. Une telle influence ne se conçoit que si le bénéficiaire est informé de la disposition et de ses clauses essentielles, avant ou après la rédaction (RO 73 II 15 ss). Le jugement attaqué constate que si la défenderesse connaissait l'existence de dispositions pour cause de mort, son amant l'ayant assurée que tout était en ordre quoi qu'il arrive, elle ignora néanmoins le contenu des testaments et codicilles jusqu'au décès. La juridiction cantonale n'a pas commis une inadvertance manifeste, ni violé aucune règle fédérale de preuve (art. 63 al. 2 OJ); sa constatation, dès lors, ne pouvait être attaquée que par la voie du recours de droit public pour violation de l'art. 4 Cst. Il suit de là que les legs attaqués ne sont pas immoraux, la défenderesse n'en ayant pas connu les clauses essentielles. Si les legs sont valides, la clause de réduction conditionnelle l'est aussi (consid. 1). Dès lors, l'action et le recours doivent être rejetés dans leur ensemble.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