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365</w:t>
      </w:r>
    </w:p>
    <w:p>
      <w:r>
        <w:t>Bundesgericht (BGE), 1959-01-01, DE</w:t>
      </w:r>
    </w:p>
    <w:p>
      <w:r>
        <w:rPr>
          <w:b/>
        </w:rPr>
        <w:t xml:space="preserve">Quelle: </w:t>
      </w:r>
      <w:r>
        <w:t>https://mcp.opencaselaw.ch/entscheid/bge_BGE_85_II_365</w:t>
      </w:r>
    </w:p>
    <w:p>
      <w:r>
        <w:t>FR: ATF 85 II 365</w:t>
      </w:r>
    </w:p>
    <w:p>
      <w:r>
        <w:t>IT: DTF 85 II 365</w:t>
      </w:r>
    </w:p>
    <w:p>
      <w:pPr>
        <w:pStyle w:val="Heading2"/>
      </w:pPr>
      <w:r>
        <w:t>Regeste</w:t>
      </w:r>
    </w:p>
    <w:p>
      <w:r>
        <w:t>Regeste Berufung an das Bundesgericht; Streitwert einer Klage auf Abänderung eines Scheidungsurteils hinsichtlich der Unterhaltsbeiträge für die geschiedene Frau und die Kinder.</w:t>
      </w:r>
    </w:p>
    <w:p>
      <w:r>
        <w:t>Regeste Recours en réforme au Tribunal fédéral; valeur litigieuse d'une action tendant à la modification d'un jugement de divorce en ce qui concerne les prestations d'entretien en faveur de la femme divorcée et des enfants.</w:t>
      </w:r>
    </w:p>
    <w:p>
      <w:r>
        <w:t>Regesto Ricorso per riforma al Tribunale federale; valore litigioso di un'azione tendente alla modificazione di una sentenza di divorzio per quanto concerne gli alimenti a favore della donna divorziata e dei figli.</w:t>
      </w:r>
    </w:p>
    <w:p>
      <w:pPr>
        <w:pStyle w:val="Heading2"/>
      </w:pPr>
      <w:r>
        <w:t>Erwägungen</w:t>
      </w:r>
    </w:p>
    <w:p>
      <w:r>
        <w:rPr>
          <w:b/>
        </w:rPr>
        <w:t>E. 28</w:t>
      </w:r>
    </w:p>
    <w:p>
      <w:r>
        <w:t>Tage) zugunsten des Berufungsklägers auf den nächstniedrigeren in der Tafel angegebenen Wert (48 bzw. 46 Jahre) abgerundet wird, 1,2 x Fr. 1419.-- = (aufgerundet) Fr. 1703.--. c) Bei den nach der Klageeinleitung fällig werdenden Teuerungszulagen von monatlich je Fr. 12.50 zu den je bis zur Vollendung des 20. Altersjahres zahlbaren Kinderrenten handelt es sich um sofort beginnende, monatlich vorschüssige, temporäre Verbindungsrenten von je Fr. 150 im Jahr auf das kürzere Leben zweier Personen, von denen die eine ein Mann und die andere ein Kind ist. Wird das Alter des Mannes zur Zeit der Klageanhebung wieder auf 48 Jahre abgerundet und die Laufzeit der Renten von diesem Zeitpunkt an für das Mädchen von 4.1/2 auf 5 Jahre, für den Knaben von 73/4 auf 8 Jahre aufgerundet, so ergeben sich nach PICCARD (Tafel 24, S. 201) bei einem Zinsfuss von 3 1/2% die folgenden Barwerte: Rente für das Mädchen: 1,5 x Fr. 451.-- = (aufgerundet) ............ Fr. 677.--, Rente für den Knaben: 1,5 x Fr. 676.-- = Fr. 1014.--. d) Die Addition der unter lit. a bis c errechneten Beträge ergibt (Fr. 350.-- + Fr. 1703.-- + Fr. 677.-- + Fr. 1014.-- =) Fr. 3744.--. Der wirkliche Streitwert ist niedriger, weil bei der Berechnung der unter lit. b und c genannten Posten durchwegs mit höhern Werten gerechnet wurde, als sie dem tatsächlichen Alter der Beteiligten bzw. der tatsächlichen Laufzeit der Renten entsprechen.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