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194</w:t>
      </w:r>
    </w:p>
    <w:p>
      <w:r>
        <w:t>Bundesgericht (BGE), 1959-01-01, FR</w:t>
      </w:r>
    </w:p>
    <w:p>
      <w:r>
        <w:rPr>
          <w:b/>
        </w:rPr>
        <w:t xml:space="preserve">Quelle: </w:t>
      </w:r>
      <w:r>
        <w:t>https://mcp.opencaselaw.ch/entscheid/bge_BGE_85_II_194</w:t>
      </w:r>
    </w:p>
    <w:p>
      <w:r>
        <w:t>FR: ATF 85 II 194</w:t>
      </w:r>
    </w:p>
    <w:p>
      <w:r>
        <w:t>IT: DTF 85 II 194</w:t>
      </w:r>
    </w:p>
    <w:p>
      <w:pPr>
        <w:pStyle w:val="Heading2"/>
      </w:pPr>
      <w:r>
        <w:t>Regeste</w:t>
      </w:r>
    </w:p>
    <w:p>
      <w:r>
        <w:t>Regeste Die zur Sicherstellung der Erfüllung einer Geldforderung bestimmten vorsorglichen Massnahmen werden durch das Bundesrecht (Art. 271 ff. SchKG) erschöpfend geregelt und können nicht gestützt auf das kantonale Prozessrecht angeordnet werden.</w:t>
      </w:r>
    </w:p>
    <w:p>
      <w:r>
        <w:t>Regeste Les mesures conservatoires destinées à garantir le paiement d'une créance pécuniaire sont réglées exhaustivement par le droit fédéral (art. 271 et suiv. LP) et ne peuvent être prises en vertu du droit cantonal.</w:t>
      </w:r>
    </w:p>
    <w:p>
      <w:r>
        <w:t>Regesto Le misure provvisionali destinate a garantire il pagamento di un credito pecuniario sono disciplinate in modo esclusivo dal diritto federale (art. 271 sgg. LEF) e non possono essere prese in virtù del diritto cantonale.</w:t>
      </w:r>
    </w:p>
    <w:p>
      <w:pPr>
        <w:pStyle w:val="Heading2"/>
      </w:pPr>
      <w:r>
        <w:t>Erwägungen</w:t>
      </w:r>
    </w:p>
    <w:p>
      <w:r>
        <w:rPr>
          <w:b/>
        </w:rPr>
        <w:t>E. 1</w:t>
      </w:r>
    </w:p>
    <w:p>
      <w:r>
        <w:t>La décision attaquée a été prise en dernière instance cantonale; en effet, la procédure vaudoise exclut tout recours contre une ordonnance de mesures provisionnelles rendue par un président de tribunal dans une cause dont il connaît comme juge unique (JdT 1914 III 107). D'autre part, la décision en cause a été rendue dans une contestation de droit civil. Enfin, elle ne peut être l'objet d'un recours en réforme, attendu qu'il s'agit d'une mesure provisionnelle et non d'un jugement au fond (RO 75 II 95 consid. 1, et les arrêts cités) et que, au surplus, la valeur BGE 85 II 194 S. 196 litigieuse exigée par l'art. 46 OJ n'est pas atteinte. Dès lors, le recours en nullité est recevable (cf. RO 74 II 51 consid. 2, 79 II 285 et suiv.).</w:t>
      </w:r>
    </w:p>
    <w:p>
      <w:r>
        <w:rPr>
          <w:b/>
        </w:rPr>
        <w:t>E. 2</w:t>
      </w:r>
    </w:p>
    <w:p>
      <w:r>
        <w:t>L'exécution des créances pécuniaires est réglée exclusivement par le droit fédéral (cf. art. 38 al. 1 LP). Celui-ci ne peut donc, dans cette matière, être complété par la procédure cantonale (cf. notamment RO 74 II 51 consid. 3 et 79 II 288). En particulier, les art. 271 et suiv. LP réglementent de façon exhaustive les mesures conservatoires destinées à garantir le paiement d'une créance portant sur une somme d'argent (RO 41 I 204 consid. 2). Or la décision attaquée constitue une telle mesure, puisqu'elle revient à séquestrer diverses sommes en main de l'Office afin de garantir le paiement de la créance pécuniaire litigieuse de Saussaz. Elle ne pouvait donc être rendue que dans les cas prévus par l'art. 271 LP et selon les formes indiquées aux art. 272 et suiv. LP. Ayant été fondée sur le droit cantonal, elle doit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