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12</w:t>
      </w:r>
    </w:p>
    <w:p>
      <w:r>
        <w:t>Bundesgericht (BGE), 1959-01-01, DE</w:t>
      </w:r>
    </w:p>
    <w:p>
      <w:r>
        <w:rPr>
          <w:b/>
        </w:rPr>
        <w:t xml:space="preserve">Quelle: </w:t>
      </w:r>
      <w:r>
        <w:t>https://mcp.opencaselaw.ch/entscheid/bge_BGE_85_II_12</w:t>
      </w:r>
    </w:p>
    <w:p>
      <w:r>
        <w:t>FR: ATF 85 II 12</w:t>
      </w:r>
    </w:p>
    <w:p>
      <w:r>
        <w:t>IT: DTF 85 II 12</w:t>
      </w:r>
    </w:p>
    <w:p>
      <w:pPr>
        <w:pStyle w:val="Heading2"/>
      </w:pPr>
      <w:r>
        <w:t>Regeste</w:t>
      </w:r>
    </w:p>
    <w:p>
      <w:r>
        <w:t>Regeste Änderung des Scheidungsurteils, Kinderzuteilung. Wie bei der Regelung der Elternrechte im Scheidungsurteil sind bei der Anwendung von Art. 157 ZGB nicht allein die zur Zeit der Beurteilung bestehenden Verhältnisse massgebend, sondern ist auch in Betracht zu ziehen, wie sich die Verhältnisse aller Voraussicht nach in absehbarer Zukunft gestalten werden. Bedeutung des Umstandes, dass die Mutter Gelegenheit erhält, die bisher an einem Pflegeort untergebrachten Kinder persönlich zu betreuen.</w:t>
      </w:r>
    </w:p>
    <w:p>
      <w:r>
        <w:t>Regeste Modification du jugement de divorce, attribution des enfants. On doit tenir compte dans l'application de l'art. 157 CC, comme lors du règlement des droits des parents par le jugement de divorce, non seulement des circonstances existant à l'époque du jugement mais aussi des changements qu'elles subiront, selon toute vraisemblance, dans un avenir prévisible. Importance du fait que la mère a désormais la possibilité de s'occuper personnellement des enfants mis en pension.</w:t>
      </w:r>
    </w:p>
    <w:p>
      <w:r>
        <w:t>Regesto Modificazione della sentenza di divorzio, attribuzione dei figli. Come la sentenza di divorzio per ciò che concerne i diritti dei genitori, così il giudice deve, nell'applicazione dell'art. 157 CC, tener conto non soltanto delle circostanze esistenti all'epoca della sentenza, ma anche dei cambiamenti che le medesime subiranno, secondo ogni probabilità, in un futuro prevedibile. Importanza del fatto che la madre ha la possibilità di occuparsi personalmente dei figli collocati sinora in pensione.</w:t>
      </w:r>
    </w:p>
    <w:p>
      <w:pPr>
        <w:pStyle w:val="Heading2"/>
      </w:pPr>
      <w:r>
        <w:t>Erwägungen</w:t>
      </w:r>
    </w:p>
    <w:p>
      <w:r>
        <w:rPr>
          <w:b/>
        </w:rPr>
        <w:t>E. 1</w:t>
      </w:r>
    </w:p>
    <w:p>
      <w:r>
        <w:t>Nach dem Scheidungsurteil hat die Klägerin bei der Scheidung auf die (von ihr zunächst beanspruchten) Elternrechte schweren Herzens verzichtet, weil sie "derzeit" aus beruflichen Gründen nicht in der Lage sei, die Kinder persönlich zu betreuen. Das angefochtene Urteil stellt hiezu überdies fest, die Klägerin habe sich in der persönlichen Befragung vom (Scheidungs-) Richter davon überzeugen lassen, dass die Interessen der Kinder am besten gewahrt seien, wenn sie "vorderhand" bei ihren Pflegeeltern blieben; "hierauf" habe sie mit Rücksicht auf die Unmöglichkeit, die Kinder persönlich zu betreuen, auf die Elternrechte verzichtet. Aus diesen Feststellungen ergibt sich, dass das Scheidungsgericht der Klägerin diesen Verzicht nahegelegt hat, weil sie damals nicht in der Lage war, die Kinder zu sich zu nehmen. Andere Tatsachen, die gegen eine Zuteilung der Kinder an die Klägerin hätten sprechen können, sind bei der Scheidung nicht festgestellt worden. Dagegen bestanden gegen die Zuteilung an den Beklagten, der die Kinder auch nicht persönlich betreuen konnte, in dessen Person begründete Bedenken. Unter diesen Umständen drängt sich die Frage auf, ob es richtig war, die Klägerin zum Verzicht auf die elterliche Gewalt zu bewegen. Hätte doch die Übertragung dieser Gewalt an sie die einstweilige Belassung der Kinder bei den Verwandten des Beklagten, wohin die Klägerin die Kinder unmittelbar vor Einleitung der Scheidungsklage selber gebracht hatte, keineswegs ausgeschlossen. Allein auch wenn die Elternrechte bei der Scheidung besser anders geordnet worden wären, kann die einmal getroffene Gestaltung dieser Rechte, nachdem sie rechtskräftig geworden ist, nur dann abgeändert werden, wenn die Voraussetzungen von Art. 157 ZGB zutreffen, d.h. wenn infolge von Heirat, Wegzug oder Tod eines der Eltern oder aus andern Gründen eine wesentliche Veränderung der Verhältnisse BGE 85 II 12 S. 16 eingetreten ist, die eine Neuregelung als erforderlich erscheinen lässt. Ob dies der Fall sei, beurteilt sich vor allem nach Massgabe der Interessen der Kinder ( BGE 43 II 476 ).</w:t>
      </w:r>
    </w:p>
    <w:p>
      <w:r>
        <w:rPr>
          <w:b/>
        </w:rPr>
        <w:t>E. 2</w:t>
      </w:r>
    </w:p>
    <w:p>
      <w:r>
        <w:t>Es kann nicht bestritten werden und wird auch nicht bestritten, dass die Kinder bei den Eheleuten K., wo sich heute beide befinden, gut aufgehoben sind. Das Kantonsgericht hat jedoch gefunden, gegenüber der Fremdpflege, die bei der Scheidung nur als vorübergehende Massnahme ins Auge gefasst worden sei, verdiene die Betreuung der Kinder durch die eigene Mutter, die ihnen zugetan sei und der die Eignung zu ihrer Pflege und Erziehung nicht abgesprochen werden könne, den Vorzug, auch wenn die Unterkunftsverhältnisse bei ihr enger seien als bei den Pflegeeltern. Die Vorinstanz ist, wie die wiedergegebene Feststellung am Schluss ihrer Erwägungen zeigt, grundsätzlich nicht anderer Ansicht. Sie hat die Klage nur deshalb abgewiesen, weil sie fand, die blosse Möglichkeit, mit den Kindern in den väterlichen Haushalt zu ziehen, stelle noch keine Änderung der Verhältnisse im Sinne des Gesetzes dar. Wie bei der Gestaltung der Elternrechte im Falle der Scheidung können jedoch auch beim Entscheid darüber, ob veränderte Verhältnisse eine Neuregelung verlangen, nicht allein die im Zeitpunkt der Beurteilung bestehenden Verhältnisse massgebend sein, sondern muss auch in Betracht gezogen werden, wie sich die Verhältnisse aller Voraussicht nach in absehbarer Zukunft gestalten werden. Wenn die Klägerin nach den Aussagen ihres gut beleumdeten Vaters und ihrer Schwester heute Gelegenheit hat, mit den Kindern zu ihrem Vater nach W. zu ziehen und ihm den Haushalt zu führen, während sie im Zeitpunkt der Scheidung noch gezwungen war, anderwärts der Arbeit ausser Hause nachzugehen, so darf darin also eine Änderung der für die Gestaltung der Elternrechte erheblichen Verhältnisse erblickt werden, und zwar handelt es sich um eine wesentliche, eine Neuregelung dieser Rechte fordernde Änderung Das Interesse der beiden kleinen Kinder verlangt BGE 85 II 12 S. 17 bei der gegebenen Sachlage vor allem, dass sie von der eigenen Mutter betreut werden. Es besteht denn auch kein Zweifel, dass die Kinder bei der Scheidung der Klägerin zugeteilt worden wären, wenn die heute gegebenen Verhältnisse schon damals bestanden hätten. Die Unterkunft ist beim Vater der Klägerin zwar enger als bei den Eheleuten K., aber immerhin genügend, und das wirtschaftliche Auskommen der Klägerin (die einen Lohn erhalten wird) und der Kinder ist im Haushalt des Vaters der Klägerin gesichert, wenn der Beklagte an den Unterhalt der Kinder angemessene Beiträge zahlt. Der Umstand, dass die Kinder auch an ihren Pflegeeltern hangen, kann nichts daran ändern, dass es für sie noch besser ist, wenn ihre eigene Mutter sich ihrer persönlich annimmt. Dass die Klägerin erst dann ihre jetzige Stelle aufgeben und zum Vater ziehen und in dessen Haushalt ihre Schwester ablösen will, wenn sie zugleich die Kinder dorthin mitnehmen kann, ist sehr wohl begreiflich und beweist entgegen der Auffassung des Beklagten keineswegs, dass es ihr mit dem Wunsche, die Kinder bei sich zu haben, gar nicht ernst sei. Ebensowenig liegt in der erwähnten Tatsache ein Anzeichen für einen Charaktermangel, der ihre erzieherische Eignung in Frage stellen könnte. Sollte die Klägerin wider Erwarten nicht zu ihrem Vater ziehen, sondern ihre Stelle in Zürich beibehalten und die Kinder "irgendwo" unterbringen, wie dies die Vorinstanz für den Fall der Gutheissung der Klage vor vollzogenem Umzug als Möglichkeit in Betracht zieht, so könnte dies unter Umständen dazu führen, ihr die elterliche Gewalt gemäss Art. 157 ZGB wieder zu entziehen. Auch würde sich in diesem Falle die Frage erheben, ob nicht die Klägerin gegenüber dem Beklagten für den Betrag der ihm auferlegten Kosten des gegenwärtigen Prozesses schadenersatzpflichtig würde. 3./4. - (Unterhaltsbeiträge und Besuchsrecht;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