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93</w:t>
      </w:r>
    </w:p>
    <w:p>
      <w:r>
        <w:t>Bundesgericht (BGE), 1959-01-01, DE</w:t>
      </w:r>
    </w:p>
    <w:p>
      <w:r>
        <w:rPr>
          <w:b/>
        </w:rPr>
        <w:t xml:space="preserve">Quelle: </w:t>
      </w:r>
      <w:r>
        <w:t>https://mcp.opencaselaw.ch/entscheid/bge_BGE_85_III_93</w:t>
      </w:r>
    </w:p>
    <w:p>
      <w:r>
        <w:t>FR: ATF 85 III 93</w:t>
      </w:r>
    </w:p>
    <w:p>
      <w:r>
        <w:t>IT: DTF 85 III 93</w:t>
      </w:r>
    </w:p>
    <w:p>
      <w:pPr>
        <w:pStyle w:val="Heading2"/>
      </w:pPr>
      <w:r>
        <w:t>Regeste</w:t>
      </w:r>
    </w:p>
    <w:p>
      <w:r>
        <w:t>Regeste Kollokationsplan im Konkurs. Die Frist für seine Anfechtung durch Klage (Art. 250 SchKG) oder durch Beschwerde wegen formeller Mängel läuft grundsätzlich für alle Beteiligten (auch für Gläubiger, welche die Spezialanzeige gemäss Art. 249 Abs. 3 SchKG nicht oder zu spät erhalten haben) von der öffentlichen Bekanntmachung seiner Auflegung an. Hat jedoch die Konkursverwaltung über die Zulassung oder Abweisung einer angemeldeten Forderung keine klare Entscheidung getroffen, so kann deswegen noch im Anschluss an die Spezialanzeige über die Auflegung der Verteilungsliste (Art. 263 Abs. 2 SchKG) Beschwerde geführt werden.</w:t>
      </w:r>
    </w:p>
    <w:p>
      <w:r>
        <w:t>Regeste Etat de collocation dans la faillite. Le délai pour l'attaquer par une action (art. 250 LP) ou par une plainte en raison de vices de forme court en principe pour tous les intéressés (y compris les créanciers qui n'ont pas reçu ou ont reçu tardivement l'avis spécial prévu par l'art. 249 al. 3 LP) dès le jour de la publication du dépôt. Cependant, si l'administration de la faillite n'a pas admis ou écarté clairement une créance produite, ce vice peut encore donner lieu à une plainte après l'avis spécial du dépôt du tableau de distribution (art. 263 al. 2 LP).</w:t>
      </w:r>
    </w:p>
    <w:p>
      <w:r>
        <w:t>Regesto Graduatoria nel fallimento. Il termine per impugnarla mediante azione (art. 250 LEF) o reclamo per vizi di forma decorre, di massima, per tutti gli interessati (compresi i creditori che non hanno ricevuto o hanno ricevuto tardivamente lo speciale avviso previsto nell'art. 249 cp. 3 LEF) a contare dal giorno della pubblicazione del deposito. Tuttavia, se l'amministrazione del fallimento non ha accolto o respinto chiaramente un credito insinuato, questo vizio può ancora dar luogo a un reclamo dopo l'avviso speciale di deposito dello stato di ripartizione (art. 263 cp. 2 LEF).</w:t>
      </w:r>
    </w:p>
    <w:p>
      <w:pPr>
        <w:pStyle w:val="Heading2"/>
      </w:pPr>
      <w:r>
        <w:t>Erwägungen</w:t>
      </w:r>
    </w:p>
    <w:p>
      <w:r>
        <w:rPr>
          <w:b/>
        </w:rPr>
        <w:t>E. 2</w:t>
      </w:r>
    </w:p>
    <w:p>
      <w:r>
        <w:t>Die Vorinstanz hat mit Recht angenommen, dass die im Kollokationsplan enthaltenen Entscheidungen über die Konkursforderungen mit dem unbenützten Ablauf der Frist von Art. 250 Abs. 1 SchKG rechtskräftig werden, selbst wenn ein Gläubiger, dessen Forderung ganz oder teilweise abgewiesen wurde, die in Art. 249 Abs. 3 SchKG vorgesehene Spezialanzeige nicht oder zu spät erhalten hat ( BGE 24 I 385 Erw. 3, BGE 34 I 606 = Sep.ausg. 1 S. 117 Erw. 3, 11 S. 176; BGE 68 III 143 ). Die eindeutige Vorschrift von Art. 250 Abs. 1 SchKG will die Frist für die Anfechtung des Kollokationsplans so regeln, dass sie an einem auf einfache Weise feststellbaren Termin für alle Gläubiger zugleich abläuft. Das verbietet die Annahme, BGE 85 III 93 S. 96 dass die Klagefrist für die abgewiesenen Gläubiger erst mit dem Empfang der Spezialanzeige im Sinne von Art. 249 Abs. 3 SchKG zu laufen beginne. Bei dieser Bestimmung kann es sich vielmehr nur um eine Ordnungsvorschrift handeln, deren Verletzung bloss Schadenersatzansprüche begründen kann (vgl. die beiden zuerst angeführten Entscheide). Wäre die Forderung der Rekurrentin im Kollokationsplan für den Konkurs über die Pharmexa AG abgewiesen worden, so müsste sich die Rekurrentin, die innert der erwähnten Frist nichts vorgekehrt hat, also damit abfinden, dass sie in diesem Konkurse leer ausgeht. Es kann jedoch keine Rede davon sein, dass das Konkursamt die von der Rekurrentin im Konkurs über die Pharmexa AG angemeldete Forderung abgewiesen habe. Angesichts der im tatsächlichen Teil dieses Urteils unter A wiedergegebenen Bemerkungen am Ende des Kollokationsplans könnte man sich eher fragen, ob das Amt diese - zunächst nur pro memoria vorgemerkte - Forderung schliesslich doch noch zugelassen habe. In Wirklichkeit fehlt es jedoch an einer Entscheidung über die Anerkennung dieser Forderung, wie Art. 245 SchKG sie verlangt. Als Entscheidung im Sinne dieser Bestimmung kann nur eine Erklärung der Konkursverwaltung gelten, die in unmissverständlicher Weise zu erkennen gibt, ob der betreffende Gläubiger am Konkursergebnis teilnehmen soll oder nicht. Eine solche Erklärung hat das Konkursamt im Konkurs über die Pharmexa AG bezüglich der Forderung der Rekurrentin nicht abgegeben. Man weiss nicht sicher, ob es diese Forderung im Konkurse über die Pharmexa AG endgültig oder allenfalls "zur Zeit" (vgl. BGE 51 III 200 f.) abweisen oder im Gegenteil grundsätzlich zulassen oder sich vorbehalten wollte, den Kollokationsplan mit Bezug auf diese Forderung je nach dem Ergebnis des Konkurses über Leo Lippuner gemäss Art. 59 Abs. 2 KV zu ergänzen. Lag somit hinsichtlich dieser Forderung keine eindeutig auf Zulassung oder Abweisung lautende Verfügung vor, so fehlte in diesem Punkte die Grundvoraussetzung BGE 85 III 93 S. 97 für eine von der Rekurrentin oder einem andern Gläubiger anzuhebende Klage auf Anfechtung des Kollokationsplans gemäss Art. 250 SchKG , sodass die Unterlassung einer solchen Klage der Rekurrentin nicht schaden kann. Dass das Konkursamt die Forderung der Rekurrentin im Konkurs über die Pharmexa AG zwar als angemeldet vormerkte, aber nicht in klarer Weise über ihre Zulassung oder Abweisung verfügte, bedeutet einen formellen Mangel des Kollokationsplans, der nicht durch Klage, sondern durch Beschwerde geltend zu machen ist (vgl. BGE 41 III 280 , BGE 53 III 140 , BGE 54 III 275 , BGE 83 III 44 , 81). Für die Beschwerde gegen den Kollokationsplan gilt nun allerdings grundsätzlich die gleiche Frist wie für die Klage gemäss Art. 250 SchKG , d.h. die zehntägige Frist für diese Beschwerde ist für alle Beteiligten vom Tage der öffentlichen Bekanntmachung der Auflegung des Kollokationsplans an zu berechnen, sofern wenigstens der Plan an diesem Tage aufgelegt worden ist ( BGE 71 III 182 /183 und dortige Hinweise). Die so berechnete Frist war längst abgelaufen, als die Rekurrentin Beschwerde führte. In Fällen wie dem vorliegenden kann diese Befristung der Beschwerde jedoch nicht gelten. Der Umstand, dass der Kollokationsplan im Konkurs über die Pharmexa AG mit Bezug auf die darin als angemeldet eingetragene Forderung der Rekurrentin keine klare Entscheidung enthält, hat zur Folge, dass dieser Plan als Grundlage für die Erstellung der Verteilungsliste schlechterdings untauglich ist; denn es lässt sich daraus eben nicht entnehmen, ob die Forderung der Rekurrentin bei der Verteilung berücksichtigt werden soll oder nicht. Weist der Kollokationsplan einen solchen Mangel auf, so muss die Beschwerde auch noch im Anschluss an die Zustellung der Spezialanzeige über die Auflegung der Verteilungsliste (Formular Nr. 10) zulässig sein. Die vorliegende Beschwerde ist also rechtzeitig.</w:t>
      </w:r>
    </w:p>
    <w:p>
      <w:r>
        <w:rPr>
          <w:b/>
        </w:rPr>
        <w:t>E. 3</w:t>
      </w:r>
    </w:p>
    <w:p>
      <w:r>
        <w:t>Der dem Kollokationsplan in Sachen Pharmexa AG anhaftende Mangel kann entgegen der Auffassung der Rekurrentin selbstverständlich nicht in der Weise BGE 85 III 93 S. 98 behoben werden, dass das Konkursamt angewiesen wird, die Forderung der Rekurrentin zu kollozieren und als dividendenberechtigt zu erklären. Vielmehr ist das Konkursamt aufzufordern, die von ihm bisher nicht getroffene Entscheidung über die Anerkennung dieser Forderung nachzuholen, d.h. den Kollokationsplan durch eindeutige Zulassung oder Abweisung dieser Forderung im Sinne von Art. 59 Abs. 2 KV zu ergänzen, den ergänzten Kollokationsplan unter öffentlicher Bekanntmachung wieder aufzulegen und im Falle, dass die Forderung der Rekurrentin endgültig zugelassen werden sollte, die Verteilungsliste entsprechend abzuändern.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