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90</w:t>
      </w:r>
    </w:p>
    <w:p>
      <w:r>
        <w:t>Bundesgericht (BGE), 1959-05-20, FR</w:t>
      </w:r>
    </w:p>
    <w:p>
      <w:r>
        <w:rPr>
          <w:b/>
        </w:rPr>
        <w:t xml:space="preserve">Quelle: </w:t>
      </w:r>
      <w:r>
        <w:t>https://mcp.opencaselaw.ch/entscheid/bge_BGE_85_III_90</w:t>
      </w:r>
    </w:p>
    <w:p>
      <w:r>
        <w:t>FR: ATF 85 III 90</w:t>
      </w:r>
    </w:p>
    <w:p>
      <w:r>
        <w:t>IT: DTF 85 III 90</w:t>
      </w:r>
    </w:p>
    <w:p>
      <w:pPr>
        <w:pStyle w:val="Heading2"/>
      </w:pPr>
      <w:r>
        <w:t>Regeste</w:t>
      </w:r>
    </w:p>
    <w:p>
      <w:r>
        <w:t>Regeste Berechtigung des Konkursamtes zur Weiterziehung eines Entscheides an das Bundesgericht (Erw. 1). Beginn der Beschwerdefrist. Begriff der Verfügung nach Art. 17 SchKG (Erw. 2).</w:t>
      </w:r>
    </w:p>
    <w:p>
      <w:r>
        <w:t>Regeste Qualité de l'office des faillites pour recourir au Tribunal fédéral (consid. 1). Point de départ du délai de plainte. Notion de la mesure selon l'art. 17 LP (consid. 2).</w:t>
      </w:r>
    </w:p>
    <w:p>
      <w:r>
        <w:t>Regesto Veste dell'ufficio dei fallimenti per ricorrere al Tribunale federale (consid. 1). Inizio del termine di reclamo. Nozione di provvedimento secondo l'art. 17 LEF (consid. 2).</w:t>
      </w:r>
    </w:p>
    <w:p>
      <w:pPr>
        <w:pStyle w:val="Heading2"/>
      </w:pPr>
      <w:r>
        <w:t>Erwägungen</w:t>
      </w:r>
    </w:p>
    <w:p>
      <w:r>
        <w:rPr>
          <w:b/>
        </w:rPr>
        <w:t>E. 1</w:t>
      </w:r>
    </w:p>
    <w:p>
      <w:r>
        <w:t>En sa qualité d'administration de la faillite, l'office des faillites doit sauvegarder les intérêts de la BGE 85 III 90 S. 92 masse. Il a donc qualité pour recourir (RO 54 III 101, 55 III 64, 75 III 21 consid. 1).</w:t>
      </w:r>
    </w:p>
    <w:p>
      <w:r>
        <w:rPr>
          <w:b/>
        </w:rPr>
        <w:t>E. 2</w:t>
      </w:r>
    </w:p>
    <w:p>
      <w:r>
        <w:t>Dans sa circulaire du 19 février 1959, l'office des faillites a indiqué clairement que la prétention dirigée contre la masse en faillite de Pellaud ne serait cédée à un créancier que s'il versait le montant de 3900 fr. Une telle décision constitue une mesure au sens de l'art. 17 LP. En effet, l'office n'a pas donné des indications de portée générale en vue de cas futurs ni réservé des décisions particulières lorsqu'il serait saisi de demandes de cession (cf. RO 37 I 614, 38 I 802). Il a, dans un cas concret, fixé les conditions auxquelles les créanciers pouvaient obtenir la cession d'un droit de la masse. Du reste, s'il ne s'agissait pas d'une mesure selon l'art. 17 LP, l'office n'eût pas été lié dès l'expiration du délai de plainte (cf. RO 78 III 23 et 51, ainsi que les arrêts cités) et aurait pu, en accordant une cession, modifier les conditions prévues. Or un tel résultat eût été inadmissible. En effet, les créanciers devaient pouvoir compter que l'office ne céderait les droits en cause que moyennant le paiement de 3900 fr. par le cessionnaire. Certes, si l'office entendait n'exiger du créancier cessionnaire que les frais de la procédure et le dividende présumé revenant aux autres créanciers, il ne pouvait déjà fixer le montant de ce versement dans sa circulaire. Mais il lui était loisible de déclarer que la somme à déposer était de 3900 fr. moins le dividende qui reviendrait probablement au cessionnaire. Or il n'en a rien fait. Les destinataires de l'avis du 19 février 1959 devaient donc comprendre que, s'ils voulaient obtenir la cession des droits de la masse, ils devaient, quel que fût le montant de leur créance, payer 3900 fr. à l'office des faillites. Quant à la lettre de l'office du 4 mars 1959, elle constitue simplement, quant au principe et au montant du versement, une mesure d'exécution de la décision qui a fait l'objet de la circulaire du 19 février. Par conséquent, si Feisst entendait se plaindre qu'il dût BGE 85 III 90 S. 93 payer 3900 fr. pour obtenir la cession des droits en cause, il devait attaquer, dans les dix jours, la décision du 19 février 1959. Comme il n'a agi que le 16 mars, sa plainte est tardive. Par conséquent, c'est à tort que l'autorité de surveillance est entrée en matière. Il y a lieu d'annuler sa décision et de déclarer la plainte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