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65</w:t>
      </w:r>
    </w:p>
    <w:p>
      <w:r>
        <w:t>Bundesgericht (BGE), 1959-05-15, DE</w:t>
      </w:r>
    </w:p>
    <w:p>
      <w:r>
        <w:rPr>
          <w:b/>
        </w:rPr>
        <w:t xml:space="preserve">Quelle: </w:t>
      </w:r>
      <w:r>
        <w:t>https://mcp.opencaselaw.ch/entscheid/bge_BGE_85_III_65</w:t>
      </w:r>
    </w:p>
    <w:p>
      <w:r>
        <w:t>FR: ATF 85 III 65</w:t>
      </w:r>
    </w:p>
    <w:p>
      <w:r>
        <w:t>IT: DTF 85 III 65</w:t>
      </w:r>
    </w:p>
    <w:p>
      <w:pPr>
        <w:pStyle w:val="Heading2"/>
      </w:pPr>
      <w:r>
        <w:t>Regeste</w:t>
      </w:r>
    </w:p>
    <w:p>
      <w:r>
        <w:t>Regeste Unpfändbarkeit von Berufswerkzeugen (Art. 92 Ziff. 3 SchKG). Die Ehefrau des Schuldners ist nicht legitimiert, die Unpfändbarkeit eines vom Schuldner verwendeten, von ihr selber nicht benötigten Berufswerkzeugs (Automobils) im eigenen Namen geltend zu machen.</w:t>
      </w:r>
    </w:p>
    <w:p>
      <w:r>
        <w:t>Regeste Insaisissabilité d'instruments de travail (art. 92 ch. 3 LP). L'épouse du débiteur n'a pas qualité pour faire valoir en son propre nom l'insaisissabilité d'un instrument de travail (automobile) qui est utilisé par son mari et dont elle n'a pas besoin elle-même.</w:t>
      </w:r>
    </w:p>
    <w:p>
      <w:r>
        <w:t>Regesto Impignorabilità di strumenti di lavoro (art. 92 num. 3 LEF). La moglie del debitore non ha veste per far valere in nome proprio l'impignorabilità di uno strumento di lavoro (automobile) che è usato da suo marito e di cui non ha bisogno lei medesima.</w:t>
      </w:r>
    </w:p>
    <w:p>
      <w:pPr>
        <w:pStyle w:val="Heading2"/>
      </w:pPr>
      <w:r>
        <w:t>Erwägungen</w:t>
      </w:r>
    </w:p>
    <w:p>
      <w:r>
        <w:rPr>
          <w:b/>
        </w:rPr>
        <w:t>E. 1</w:t>
      </w:r>
    </w:p>
    <w:p>
      <w:r>
        <w:t>(Ausführungen darüber, dass die Ehefrau des Schuldners den Entscheid der untern Aufsichtsbehörde nicht als Vertreterin des Schuldners, sondern in ihrem eigenen Namen weitergezogen hat.)</w:t>
      </w:r>
    </w:p>
    <w:p>
      <w:r>
        <w:rPr>
          <w:b/>
        </w:rPr>
        <w:t>E. 2</w:t>
      </w:r>
    </w:p>
    <w:p>
      <w:r>
        <w:t>In dem von der Vorinstanz angeführten Entscheide BGE 82 III 54 hat das Bundesgericht entschieden, der Ehefrau des Schuldners stehe hinsichtlich der Lohnpfändung ein eigenes Beschwerde- und Weiterziehungsrecht zu. Es verwies dabei auf die ständige Praxis, wonach ein solches Recht der Familienangehörigen gegenüber der Pfändung von Gegenständen anerkannt ist, die sie gemäss Art. 92 Ziff. 1-5 SchKG als nicht nur dem Schuldner, sondern auch ihnen persönlich unentbehrlich beanspruchen ( BGE 56 III 130 Erw. 2, BGE 62 III 137 , BGE 80 III 22 ). Nach diesen Präjudizien, die sich darauf stützen, dass das SchKG in Art. 92 Ziff. 1-5 und Art. 93 SchKG nicht nur die Bedürfnisse des Schuldners, sondern auch diejenigen "seiner Familie" berücksichtigt, war die Rekurrentin nicht befugt, den Entscheid der untern Aufsichtsbehörde weiterzuziehen, der das Automobil ihres Mannes als pfändbar erklärte. Sie machte nicht geltend, dieser Wagen stelle für sie selber ein unentbehrrliches Berufswerkzeug dar, sondern behauptete nur, der Schuldner sei auf ihn angewiesen, um sich an seinen Arbeitsplatz begeben und von dort heimkehren zu können. Dies geltend zu BGE 85 III 65 S. 67 machen, stand nur dem Schuldner selber zu. In welcher Weise er seinen Beruf ausüben will, insbesondere wie er seinen Arbeitsplatz erreichen und ob er diesen nötigenfalls gegen einen andern austauschen will oder nicht, ist seine höchstpersönliche Angelegenheit, in die ihm niemand dreinzureden hat, auch nicht seine Ehefrau. Ihm allein stünde es zu, sich darauf zu berufen, dass er (wie von der Rekurrentin behauptet) auf einer kleinen Station keine Aufstiegsmöglichkeit habe und sich deshalb nicht versetzen lassen wolle, oder dass ihm nicht zugemutet werden dürfe, am Arbeitsort zu übernachten. Was seine Frau von diesen Eventualitäten denkt, spielt für die Frage der Pfändbarkeit des streitigen Autos keine Rolle. Die Vorinstanz hätte also auf die Weiterziehung der Rekurrentin nicht eintreten sollen, so dass der vorliegende Rekurs an das Bundesgericht abzuweisen ist, ohne dass zu prüfen wäre, ob der angefochtene Entscheid sich aufrechterhalten liesse, wenn der Schuldner selber sich der Anordnung der Pfändung seines Autos widersetzt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