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III 46</w:t>
      </w:r>
    </w:p>
    <w:p>
      <w:r>
        <w:t>Bundesgericht (BGE), 1959-04-17, FR</w:t>
      </w:r>
    </w:p>
    <w:p>
      <w:r>
        <w:rPr>
          <w:b/>
        </w:rPr>
        <w:t xml:space="preserve">Quelle: </w:t>
      </w:r>
      <w:r>
        <w:t>https://mcp.opencaselaw.ch/entscheid/bge_BGE_85_III_46</w:t>
      </w:r>
    </w:p>
    <w:p>
      <w:r>
        <w:t>FR: ATF 85 III 46</w:t>
      </w:r>
    </w:p>
    <w:p>
      <w:r>
        <w:t>IT: DTF 85 III 46</w:t>
      </w:r>
    </w:p>
    <w:p>
      <w:pPr>
        <w:pStyle w:val="Heading2"/>
      </w:pPr>
      <w:r>
        <w:t>Regeste</w:t>
      </w:r>
    </w:p>
    <w:p>
      <w:r>
        <w:t>Regeste Widerspruchsverfahren. Art. 106 ff. SchKG. Erfordernis der klaren Benennung der die Drittansprache bestreitenden Person sowohl in der Bestreitungserklärung wie auch in der Anzeige des Betreibungsamtes an den Drittansprecher. Wann genügt die Benennung diesem Erfordernis?</w:t>
      </w:r>
    </w:p>
    <w:p>
      <w:r>
        <w:t>Regeste Procédure de revendication, art. 106 et suiv. LP. Conditions que doit remplir, dans la déclaration de contestation et dans l'avis adressé par l'office au tiers revendiquant, la désignation de la personne qui conteste la revendication.</w:t>
      </w:r>
    </w:p>
    <w:p>
      <w:r>
        <w:t>Regesto Procedura di rivendicazione, art. 106 sgg. LEF. Condizioni che deve adempire, nella dichiarazione di contestazione e nell'avviso indirizzato dall'ufficio al terzo rivendicante, la designazione della persona che contesta la rivendicazione.</w:t>
      </w:r>
    </w:p>
    <w:p>
      <w:pPr>
        <w:pStyle w:val="Heading2"/>
      </w:pPr>
      <w:r>
        <w:t>Erwägungen</w:t>
      </w:r>
    </w:p>
    <w:p>
      <w:r>
        <w:rPr>
          <w:b/>
        </w:rPr>
        <w:t>E. 1</w:t>
      </w:r>
    </w:p>
    <w:p>
      <w:r>
        <w:t>Le recourant prétend à tort que le droit de propriété qu'il allègue n'a pas été contesté valablement par les créanciers. Sans doute le Service des finances de la Ville de Fribourg n'a-t-il pas déclaré expressément, dans sa lettre du 30 décembre 1958, qu'il intervenait au nom de la Ville et de l'Etat de Fribourg. Mais l'office ne pouvait s'y tromper. Il sait que ce service n'a pas la personnalité juridique et ne fait que représenter la commune et le canton. Aussi bien a-t-il déclaré, dans sa lettre du 18 mars 1959, qu'il considérait dans toutes les poursuites que le Service des finances de la Ville de Fribourg agissait au nom de l'Etat et de la Ville. Il pouvait d'autant moins avoir des doutes en l'espèce que la lettre du 30 décembre 1958 indiquait le numéro de la poursuite à laquelle elle se rapportait et que, dans cette procédure, l'Etat et la Ville de Fribourg étaient expressément indiqués comme créanciers. Dès lors, c'est avec raison que l'autorité de surveillance a considéré la contestation du 30 décembre 1958 comme valable.</w:t>
      </w:r>
    </w:p>
    <w:p>
      <w:r>
        <w:rPr>
          <w:b/>
        </w:rPr>
        <w:t>E. 2</w:t>
      </w:r>
    </w:p>
    <w:p>
      <w:r>
        <w:t>Comme la juridiction cantonale l'expose, l'avis par lequel l'office invite le tiers à faire valoir son droit en BGE 85 III 46 S. 49 justice doit indiquer clairement le nom et le domicile de la personne à qui l'action doit être intentée (RO 24 I 347 consid. 3; cf. également RO 72 III 98). Si cette mention est ambiguë ou se révèle fausse, l'intéressé peut exiger, par une plainte, la délivrance d'un nouvel avis qui soit correct. Toutefois, il faut appliquer ces règles en s'inspirant du principe de la bonne foi. Le tiers ne saurait donc se plaindre de l'insuffisance des indications données par l'office lorsqu'il sait par qui sa revendication a été contestée et à qui, par conséquent, l'action doit être intentée (cf. RO 30 I 560, 31 I 529, 82 III 129 consid. 1; SCHWARTZ, La désignation des parties dans les actes de poursuite, dans JdT 1954 II 74 et suiv.). Certes, l'office aurait dû mentionner, dans l'avis adressé à Aeberli, que le Service des finances de la Ville de Fribourg avait contesté la revendication au nom de la Ville et de l'Etat de Fribourg. Mais ce défaut importe peu en l'espèce. En effet, l'autorité de surveillance a constaté souverainement que le mandataire d'Aeberli savait parfaitement que le Service des finances de la Ville de Fribourg n'était qu'un des rouages de l'administration municipale, était chargé en particulier de la perception des impôts communaux et cantonaux et intervenait en l'occurrence au nom de la Ville et de l'Etat de Fribourg. Du reste, cela ressort clairement du dossier, puisque la demande déposée en justice par le recourant mentionne expressément que la poursuite a été intentée par la Ville et l'Etat de Fribourg et que le Service des finances intervient dans le cadre de cette poursuite. Dans ces conditions, Aeberli ne saurait se plaindre de ce que l'avis qui lui a été notifié par l'office des poursuites n'indiquait pas avec exactitude les personnes à qui il devait intenter action. Dispositiv Par ces motifs, la Chambre des poursuites et des faillites Rejette les deux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