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38</w:t>
      </w:r>
    </w:p>
    <w:p>
      <w:r>
        <w:t>Bundesgericht (BGE), 1959-02-11, FR</w:t>
      </w:r>
    </w:p>
    <w:p>
      <w:r>
        <w:rPr>
          <w:b/>
        </w:rPr>
        <w:t xml:space="preserve">Quelle: </w:t>
      </w:r>
      <w:r>
        <w:t>https://mcp.opencaselaw.ch/entscheid/bge_BGE_85_III_38</w:t>
      </w:r>
    </w:p>
    <w:p>
      <w:r>
        <w:t>FR: ATF 85 III 38</w:t>
      </w:r>
    </w:p>
    <w:p>
      <w:r>
        <w:t>IT: DTF 85 III 38</w:t>
      </w:r>
    </w:p>
    <w:p>
      <w:pPr>
        <w:pStyle w:val="Heading2"/>
      </w:pPr>
      <w:r>
        <w:t>Regeste</w:t>
      </w:r>
    </w:p>
    <w:p>
      <w:r>
        <w:t>Regeste Art. 93 SchKG. Pfändung des Einkommens aus dem Betrieb einer Auto-Fahrschule nach Art einer Lohnpfändung. Bemessung des pfändbaren Teils.</w:t>
      </w:r>
    </w:p>
    <w:p>
      <w:r>
        <w:t>Regeste Art. 93 LP. Saisie de salaire opérée sur le revenu procuré par un service d'auto-école. Calcul de la quotité saisissable.</w:t>
      </w:r>
    </w:p>
    <w:p>
      <w:r>
        <w:t>Regesto Art. 93 LEF. Pignoramento di salario effettuato sul reddito proveniente da un servizio di scuola di guida. Calcolo della parte pignorabile.</w:t>
      </w:r>
    </w:p>
    <w:p>
      <w:pPr>
        <w:pStyle w:val="Heading2"/>
      </w:pPr>
      <w:r>
        <w:t>Erwägungen</w:t>
      </w:r>
    </w:p>
    <w:p>
      <w:r>
        <w:rPr>
          <w:b/>
        </w:rPr>
        <w:t>E. 1</w:t>
      </w:r>
    </w:p>
    <w:p>
      <w:r>
        <w:t>Dans un arrêt Allemann du 5 décembre 1958 (84 IV 155) la Cour de cassation pénale a jugé qu'on peut ordonner une retenue de salaire en main d'un artisan indépendant qui exploite un institut de beauté. Par salaire au sens de l'art. 93 LP, on entend toutes sommes représentant essentiellement la rétribution d'un travail personnel et notamment la rétribution d'une activité libérale (RO 48 III 153, 59 III 120, 71 III 176, 77 III 68; FRITZSCHE, Schuldbetreibung, Konkurs und Sanierung I, 179). Sont ainsi saisissables une somme à soustraire chaque mois des honoraires d'un avocat, les gains d'un maîtrepaveur et d'un mécanicien sur automobile, les pourboires d'une sommelière (RO 79 III 157, 82 IV 189). Il n'est donc pas nécessaire que le revenu du débiteur provienne d'un emploi (ni même qu'il lui soit juridiquement dû). La loi n'entend pas réserver aux artisans non inscrits au registre du commerce et dont les prestations sont payées comptant, de sorte qu'il n'y a pas de créances à saisir, un sort meilleur qu'à l'employé réduit au seul salaire versé par le patron en leur permettant de disposer de tous leurs revenus au mépris des droits de leurs créanciers. Sans doute, les recettes d'un artisan ne constituent-elles pas un gain net. Ce n'est toutefois pas une raison d'exclure la saisie; il incombe à l'office, à la suite d'une enquête ou, si c'est nécessaire, par appréciation (RO 54 III 161), de prendre en considération, outre les besoins du débiteur et de sa famille, les charges et les aléas de l'entreprise (RO 69 III 54, 75 III 100 au milieu).</w:t>
      </w:r>
    </w:p>
    <w:p>
      <w:r>
        <w:rPr>
          <w:b/>
        </w:rPr>
        <w:t>E. 2</w:t>
      </w:r>
    </w:p>
    <w:p>
      <w:r>
        <w:t>La Chambre des poursuites, qui avait été amenée à donner un avis favorable à la Cour de cassation, ne peut que se rallier à cette jurisprudence. Celle-ci s'applique à la présente espèce. Le grand nombre des débiteurs de Rickenbach et le montant peu élevé de chaque créance ne changent rien à la situation. Il est pareillement sans importance que le rapport du moniteur à ses clients soit un BGE 85 III 38 S. 40 contrat de travail ou, plus justement, un mandat; les revenus de l'artisan sont saisissables; si l'on ne devait pas faire application de l'art. 93 LP, ils le seraient simplement de façon illimitée, sous réserve de l'art. 92 LP. La décision attaquée doit donc être annulée et la cause renvoyée à l'autorité cantonale pour qu'elle prenne ou fasse prendre, après enquête, une nouvelle décision.</w:t>
      </w:r>
    </w:p>
    <w:p>
      <w:r>
        <w:rPr>
          <w:b/>
        </w:rPr>
        <w:t>E. 3</w:t>
      </w:r>
    </w:p>
    <w:p>
      <w:r>
        <w:t>L'art. 93 LP étant applicable, l'autorité cantonale compétente établira ce qui est indispensable au débiteur et à sa famille; elle tiendra compte du gain de l'épouse, notamment du produit de la sous-location qu'elle revendique (210 fr. par mois). Le revenu brut sera diminué des seules dépenses nécessaires à l'exercice de la profession de moniteur de conduite automobile et à l'emploi d'un véhicule à cette fin; les frais de voiture ne seront pas décomptés dans la mesure où celle-ci sert à d'autres buts; en outre, on ne déduira pas d'amortissement; on peut réserver la question de savoir si, dans certains cas, une telle déduction serait légitime; en l'espèce, le débiteur ne prétend rien distraire, à cette fin, de ses revenus. Quant à la quotité saisissable, on la fixera de manière différente suivant les circonstances; ce sera un montant déterminé par mois ou, si les gains varient trop, l'excédent des revenus sur le minimum vital et les déductions admissibles; dans ce dernier cas, l'office pourra être amené à veiller à une certaine stabilité du montant à prélever en s'efforçant de régulariser les fluctuations prévisibles dans l'exercice de la profession du débiteur. Dispositiv Par ces motifs. la Chambre des poursuites et des faillites: Admet le recours, annule la décision attaquée et renvoie la cause à l'autorité cantonale pour qu'elle procède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